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CE1" w14:textId="77777777" w:rsidR="00C01166" w:rsidRPr="003702AF" w:rsidRDefault="00C01166" w:rsidP="00C01166">
      <w:pPr>
        <w:pStyle w:val="Heading1"/>
        <w:pBdr>
          <w:bottom w:val="single" w:sz="24" w:space="1" w:color="20419A"/>
        </w:pBdr>
        <w:ind w:right="-1440"/>
        <w:jc w:val="center"/>
        <w:sectPr w:rsidR="00C01166" w:rsidRPr="003702AF" w:rsidSect="00C01166">
          <w:headerReference w:type="default" r:id="rId8"/>
          <w:footerReference w:type="default" r:id="rId9"/>
          <w:type w:val="continuous"/>
          <w:pgSz w:w="12240" w:h="15840" w:code="1"/>
          <w:pgMar w:top="1440" w:right="1440" w:bottom="1440" w:left="1440" w:header="720" w:footer="720" w:gutter="0"/>
          <w:cols w:space="720"/>
          <w:docGrid w:linePitch="360"/>
        </w:sectPr>
      </w:pPr>
    </w:p>
    <w:p w14:paraId="182A021C" w14:textId="77777777" w:rsidR="00C01166" w:rsidRPr="003702AF" w:rsidRDefault="00D91B55" w:rsidP="00C01166">
      <w:pPr>
        <w:pStyle w:val="Heading1"/>
        <w:pBdr>
          <w:bottom w:val="single" w:sz="24" w:space="1" w:color="20419A"/>
        </w:pBdr>
        <w:ind w:right="-1440"/>
        <w:jc w:val="center"/>
      </w:pPr>
      <w:r w:rsidRPr="00D91B55">
        <w:t>Asistencë Teknike për Mbështetjen e Zbatimit të Reformave të Menaxhimit të Financave Publike në Kosovë</w:t>
      </w:r>
    </w:p>
    <w:p w14:paraId="1E9FB514" w14:textId="77777777" w:rsidR="00C01166" w:rsidRPr="003702AF" w:rsidRDefault="00C01166" w:rsidP="00C01166">
      <w:pPr>
        <w:jc w:val="center"/>
        <w:rPr>
          <w:b/>
          <w:sz w:val="28"/>
          <w:szCs w:val="28"/>
        </w:rPr>
      </w:pPr>
    </w:p>
    <w:p w14:paraId="6FF28FFD" w14:textId="77777777" w:rsidR="002E3D2B" w:rsidRDefault="002E3D2B" w:rsidP="002E3D2B">
      <w:pPr>
        <w:spacing w:before="1200" w:line="480" w:lineRule="auto"/>
        <w:jc w:val="center"/>
        <w:rPr>
          <w:rFonts w:eastAsia="Calibri" w:cs="Arial"/>
          <w:b/>
          <w:bCs/>
          <w:sz w:val="28"/>
          <w:szCs w:val="28"/>
        </w:rPr>
      </w:pPr>
      <w:r>
        <w:rPr>
          <w:rFonts w:eastAsia="Calibri" w:cs="Arial"/>
          <w:b/>
          <w:bCs/>
          <w:sz w:val="28"/>
          <w:szCs w:val="28"/>
        </w:rPr>
        <w:t>MODULI I TRAJNIMIT</w:t>
      </w:r>
    </w:p>
    <w:p w14:paraId="478AC0F0" w14:textId="77777777" w:rsidR="00737748" w:rsidRPr="003702AF" w:rsidRDefault="00C01166" w:rsidP="00C01166">
      <w:pPr>
        <w:spacing w:before="600" w:line="480" w:lineRule="auto"/>
        <w:jc w:val="center"/>
        <w:rPr>
          <w:rFonts w:eastAsia="Calibri" w:cs="Arial"/>
          <w:b/>
          <w:bCs/>
          <w:sz w:val="32"/>
          <w:szCs w:val="32"/>
        </w:rPr>
      </w:pPr>
      <w:r w:rsidRPr="003702AF">
        <w:rPr>
          <w:rFonts w:eastAsia="Calibri" w:cs="Arial"/>
          <w:b/>
          <w:bCs/>
          <w:sz w:val="32"/>
          <w:szCs w:val="32"/>
        </w:rPr>
        <w:t>Prokurim i qëndrueshëm</w:t>
      </w:r>
    </w:p>
    <w:p w14:paraId="3118A3E9" w14:textId="77777777" w:rsidR="00736E6A" w:rsidRPr="003702AF" w:rsidRDefault="00736E6A" w:rsidP="00736E6A">
      <w:pPr>
        <w:spacing w:before="120"/>
        <w:jc w:val="center"/>
        <w:rPr>
          <w:rFonts w:eastAsia="Calibri" w:cs="Arial"/>
          <w:b/>
          <w:bCs/>
          <w:sz w:val="32"/>
          <w:szCs w:val="32"/>
        </w:rPr>
      </w:pPr>
      <w:r w:rsidRPr="003702AF">
        <w:rPr>
          <w:rFonts w:eastAsia="Calibri" w:cs="Arial"/>
          <w:b/>
          <w:bCs/>
          <w:sz w:val="32"/>
          <w:szCs w:val="32"/>
        </w:rPr>
        <w:t xml:space="preserve">Zhvillimet </w:t>
      </w:r>
      <w:r w:rsidR="007733BC">
        <w:rPr>
          <w:rFonts w:eastAsia="Calibri" w:cs="Arial"/>
          <w:b/>
          <w:bCs/>
          <w:sz w:val="32"/>
          <w:szCs w:val="32"/>
        </w:rPr>
        <w:t>rishtas</w:t>
      </w:r>
      <w:r w:rsidRPr="003702AF">
        <w:rPr>
          <w:rFonts w:eastAsia="Calibri" w:cs="Arial"/>
          <w:b/>
          <w:bCs/>
          <w:sz w:val="32"/>
          <w:szCs w:val="32"/>
        </w:rPr>
        <w:t xml:space="preserve"> në BE</w:t>
      </w:r>
    </w:p>
    <w:p w14:paraId="1954EAA1" w14:textId="77777777" w:rsidR="00736E6A" w:rsidRPr="003702AF" w:rsidRDefault="00736E6A" w:rsidP="00736E6A">
      <w:pPr>
        <w:spacing w:before="120"/>
        <w:jc w:val="center"/>
        <w:rPr>
          <w:rFonts w:eastAsia="Calibri" w:cs="Arial"/>
          <w:b/>
          <w:bCs/>
          <w:sz w:val="32"/>
          <w:szCs w:val="32"/>
        </w:rPr>
      </w:pPr>
      <w:r w:rsidRPr="003702AF">
        <w:rPr>
          <w:rFonts w:eastAsia="Calibri" w:cs="Arial"/>
          <w:b/>
          <w:bCs/>
          <w:sz w:val="32"/>
          <w:szCs w:val="32"/>
        </w:rPr>
        <w:t>&amp;</w:t>
      </w:r>
    </w:p>
    <w:p w14:paraId="69B9D2D1" w14:textId="77777777" w:rsidR="00C01166" w:rsidRPr="003702AF" w:rsidRDefault="00737748" w:rsidP="00736E6A">
      <w:pPr>
        <w:spacing w:before="120"/>
        <w:jc w:val="center"/>
        <w:rPr>
          <w:rFonts w:eastAsia="Calibri" w:cs="Arial"/>
          <w:b/>
          <w:bCs/>
          <w:sz w:val="32"/>
          <w:szCs w:val="32"/>
        </w:rPr>
      </w:pPr>
      <w:r w:rsidRPr="003702AF">
        <w:rPr>
          <w:rFonts w:eastAsia="Calibri" w:cs="Arial"/>
          <w:b/>
          <w:bCs/>
          <w:sz w:val="32"/>
          <w:szCs w:val="32"/>
        </w:rPr>
        <w:t xml:space="preserve">Kriteret e </w:t>
      </w:r>
      <w:r w:rsidR="003702AF">
        <w:rPr>
          <w:rFonts w:eastAsia="Calibri" w:cs="Arial"/>
          <w:b/>
          <w:bCs/>
          <w:sz w:val="32"/>
          <w:szCs w:val="32"/>
        </w:rPr>
        <w:t>GJPP</w:t>
      </w:r>
      <w:r w:rsidRPr="003702AF">
        <w:rPr>
          <w:rFonts w:eastAsia="Calibri" w:cs="Arial"/>
          <w:b/>
          <w:bCs/>
          <w:sz w:val="32"/>
          <w:szCs w:val="32"/>
        </w:rPr>
        <w:t xml:space="preserve"> për TIK</w:t>
      </w:r>
    </w:p>
    <w:p w14:paraId="18D97BD6" w14:textId="77777777" w:rsidR="00C01166" w:rsidRPr="003702AF" w:rsidRDefault="00C01166" w:rsidP="00C01166">
      <w:pPr>
        <w:spacing w:before="600" w:line="480" w:lineRule="auto"/>
        <w:jc w:val="center"/>
        <w:rPr>
          <w:rFonts w:eastAsia="Calibri" w:cs="Arial"/>
          <w:b/>
          <w:bCs/>
          <w:sz w:val="28"/>
          <w:szCs w:val="28"/>
        </w:rPr>
      </w:pPr>
      <w:r w:rsidRPr="003702AF">
        <w:rPr>
          <w:rFonts w:eastAsia="Calibri" w:cs="Arial"/>
          <w:b/>
          <w:bCs/>
          <w:sz w:val="28"/>
          <w:szCs w:val="28"/>
        </w:rPr>
        <w:t>Materiale</w:t>
      </w:r>
      <w:r w:rsidR="00521FFA">
        <w:rPr>
          <w:rFonts w:eastAsia="Calibri" w:cs="Arial"/>
          <w:b/>
          <w:bCs/>
          <w:sz w:val="28"/>
          <w:szCs w:val="28"/>
        </w:rPr>
        <w:t>t</w:t>
      </w:r>
      <w:r w:rsidRPr="003702AF">
        <w:rPr>
          <w:rFonts w:eastAsia="Calibri" w:cs="Arial"/>
          <w:b/>
          <w:bCs/>
          <w:sz w:val="28"/>
          <w:szCs w:val="28"/>
        </w:rPr>
        <w:t xml:space="preserve"> </w:t>
      </w:r>
      <w:r w:rsidR="00B10CF4">
        <w:rPr>
          <w:rFonts w:eastAsia="Calibri" w:cs="Arial"/>
          <w:b/>
          <w:bCs/>
          <w:sz w:val="28"/>
          <w:szCs w:val="28"/>
        </w:rPr>
        <w:t>plotësuese të trajnimit</w:t>
      </w:r>
    </w:p>
    <w:p w14:paraId="6A708766" w14:textId="77777777" w:rsidR="00C01166" w:rsidRPr="003702AF" w:rsidRDefault="00C01166" w:rsidP="00C01166">
      <w:pPr>
        <w:jc w:val="center"/>
        <w:rPr>
          <w:rFonts w:eastAsiaTheme="minorHAnsi" w:cs="Arial"/>
        </w:rPr>
      </w:pPr>
    </w:p>
    <w:p w14:paraId="7A0738E8" w14:textId="77777777" w:rsidR="00C01166" w:rsidRPr="003702AF" w:rsidRDefault="00C01166" w:rsidP="00C01166">
      <w:pPr>
        <w:jc w:val="center"/>
        <w:rPr>
          <w:rFonts w:eastAsiaTheme="minorHAnsi" w:cs="Arial"/>
        </w:rPr>
      </w:pPr>
    </w:p>
    <w:p w14:paraId="021F08DB" w14:textId="77777777" w:rsidR="00C01166" w:rsidRPr="003702AF" w:rsidRDefault="00C01166" w:rsidP="00C01166">
      <w:pPr>
        <w:jc w:val="center"/>
        <w:rPr>
          <w:rFonts w:eastAsiaTheme="minorHAnsi" w:cs="Arial"/>
        </w:rPr>
      </w:pPr>
    </w:p>
    <w:p w14:paraId="7BA374AC" w14:textId="77777777" w:rsidR="00C01166" w:rsidRPr="003702AF" w:rsidRDefault="00C01166" w:rsidP="00C01166">
      <w:pPr>
        <w:jc w:val="center"/>
        <w:rPr>
          <w:rFonts w:eastAsiaTheme="minorHAnsi" w:cs="Arial"/>
        </w:rPr>
      </w:pPr>
    </w:p>
    <w:p w14:paraId="48BFF6C1" w14:textId="77777777" w:rsidR="00C01166" w:rsidRPr="003702AF" w:rsidRDefault="00C01166" w:rsidP="00C01166">
      <w:pPr>
        <w:jc w:val="center"/>
        <w:rPr>
          <w:rFonts w:eastAsiaTheme="minorHAnsi" w:cs="Arial"/>
        </w:rPr>
      </w:pPr>
    </w:p>
    <w:p w14:paraId="076A15DF" w14:textId="77777777" w:rsidR="00C01166" w:rsidRPr="003702AF" w:rsidRDefault="00C01166" w:rsidP="00C01166">
      <w:pPr>
        <w:spacing w:before="360"/>
        <w:jc w:val="center"/>
        <w:rPr>
          <w:rFonts w:eastAsiaTheme="minorHAnsi" w:cs="Arial"/>
        </w:rPr>
      </w:pPr>
      <w:r w:rsidRPr="003702AF">
        <w:rPr>
          <w:rFonts w:eastAsiaTheme="minorHAnsi" w:cs="Arial"/>
        </w:rPr>
        <w:t>Përgatiti: Maja Kušt, eksperte e lartë jo kyç</w:t>
      </w:r>
    </w:p>
    <w:p w14:paraId="0BD5B1A1" w14:textId="77777777" w:rsidR="00C01166" w:rsidRPr="003702AF" w:rsidRDefault="00C01166" w:rsidP="00C01166">
      <w:pPr>
        <w:spacing w:before="360"/>
        <w:jc w:val="center"/>
        <w:rPr>
          <w:rFonts w:eastAsiaTheme="minorHAnsi" w:cs="Arial"/>
        </w:rPr>
      </w:pPr>
      <w:r w:rsidRPr="003702AF">
        <w:rPr>
          <w:rFonts w:eastAsiaTheme="minorHAnsi" w:cs="Arial"/>
        </w:rPr>
        <w:t>Shtator, 2024</w:t>
      </w:r>
    </w:p>
    <w:p w14:paraId="200C2802" w14:textId="77777777" w:rsidR="00C01166" w:rsidRPr="003702AF" w:rsidRDefault="00C01166" w:rsidP="00C01166">
      <w:pPr>
        <w:rPr>
          <w:highlight w:val="yellow"/>
        </w:rPr>
      </w:pPr>
    </w:p>
    <w:p w14:paraId="0D67A940" w14:textId="77777777" w:rsidR="00C01166" w:rsidRPr="003702AF" w:rsidRDefault="00C01166" w:rsidP="00C01166">
      <w:pPr>
        <w:pStyle w:val="Heading2"/>
      </w:pPr>
      <w:r w:rsidRPr="003702AF">
        <w:lastRenderedPageBreak/>
        <w:t>Shënim</w:t>
      </w:r>
      <w:r w:rsidR="00B10CF4">
        <w:t>i njoftues</w:t>
      </w:r>
    </w:p>
    <w:p w14:paraId="5CD4AB87" w14:textId="77777777" w:rsidR="00734438" w:rsidRPr="003702AF" w:rsidRDefault="00734438" w:rsidP="00734438">
      <w:r w:rsidRPr="003702AF">
        <w:t xml:space="preserve">Ky punim është krijuar si një </w:t>
      </w:r>
      <w:r w:rsidR="00B10CF4">
        <w:t>plotësim i</w:t>
      </w:r>
      <w:r w:rsidRPr="003702AF">
        <w:t xml:space="preserve"> modulit ekzistues të trajnimit për prokurimin e qëndrueshëm.</w:t>
      </w:r>
    </w:p>
    <w:p w14:paraId="65C54B7B" w14:textId="77777777" w:rsidR="00734438" w:rsidRPr="003702AF" w:rsidRDefault="00734438" w:rsidP="00734438">
      <w:r w:rsidRPr="003702AF">
        <w:t xml:space="preserve">Pjesa e parë e këtij punimi ofron informacion bazë mbi zhvillimet e fundit në legjislacionin e BE-së në përputhje me Marrëveshjen e Gjelbër Evropiane. Meqenëse disa pjesë të legjislacionit sektorial i referohen prokurimit publik dhe vendosin detyrime për Shtetet Anëtare dhe/ose </w:t>
      </w:r>
      <w:r w:rsidR="00B10CF4">
        <w:t>autoritetet kontraktuese</w:t>
      </w:r>
      <w:r w:rsidRPr="003702AF">
        <w:t xml:space="preserve"> është thelbësore që këto zhvillime të monitorohen nga afër nga këndvështrimi i sistemit kombëtar të prokurimit.</w:t>
      </w:r>
    </w:p>
    <w:p w14:paraId="5CEDAE09" w14:textId="77777777" w:rsidR="00734438" w:rsidRPr="003702AF" w:rsidRDefault="00734438" w:rsidP="00734438">
      <w:r w:rsidRPr="003702AF">
        <w:t>Informimi i zyrtarëve të prokurimit për këto zhvillime është i rëndësishëm për të:</w:t>
      </w:r>
    </w:p>
    <w:p w14:paraId="253A6EE1" w14:textId="77777777" w:rsidR="00734438" w:rsidRPr="003702AF" w:rsidRDefault="00734438" w:rsidP="00734438">
      <w:pPr>
        <w:pStyle w:val="Bullet"/>
      </w:pPr>
      <w:r w:rsidRPr="003702AF">
        <w:t>Rrit</w:t>
      </w:r>
      <w:r w:rsidR="00B10CF4">
        <w:t>ur vetëdijsimin</w:t>
      </w:r>
      <w:r w:rsidRPr="003702AF">
        <w:t xml:space="preserve"> për mekanizmat e rinj që do të futen në sistemin kombëtar në të ardhmen.</w:t>
      </w:r>
    </w:p>
    <w:p w14:paraId="4DBC7EE3" w14:textId="77777777" w:rsidR="00734438" w:rsidRPr="003702AF" w:rsidRDefault="00B10CF4" w:rsidP="00734438">
      <w:pPr>
        <w:pStyle w:val="Bullet"/>
      </w:pPr>
      <w:r>
        <w:t>Inkurajuar miratimin</w:t>
      </w:r>
      <w:r w:rsidR="00734438" w:rsidRPr="003702AF">
        <w:t xml:space="preserve"> të hershëm të disa prej kërkesave të reja të BE-së brenda procedurave të </w:t>
      </w:r>
      <w:r>
        <w:t>autoriteteve kontraktuese</w:t>
      </w:r>
      <w:r w:rsidR="00734438" w:rsidRPr="003702AF">
        <w:t>, madje edhe përpara transpozimit të tyre zyrtar në legjislacionin kombëtar.</w:t>
      </w:r>
    </w:p>
    <w:p w14:paraId="535C9970" w14:textId="77777777" w:rsidR="00734438" w:rsidRPr="003702AF" w:rsidRDefault="00734438" w:rsidP="00734438">
      <w:r w:rsidRPr="003702AF">
        <w:t>Pjesa e dytë e këtij punimi ofron shembuj të disa kritereve të BE-së për prokurimin publik të gjelbër (</w:t>
      </w:r>
      <w:r w:rsidR="00B10CF4">
        <w:t>PPGJ</w:t>
      </w:r>
      <w:r w:rsidRPr="003702AF">
        <w:t>) për kompjuterë, monitorë</w:t>
      </w:r>
      <w:r w:rsidR="00B10CF4">
        <w:t xml:space="preserve"> si dhe</w:t>
      </w:r>
      <w:r w:rsidRPr="003702AF">
        <w:t xml:space="preserve"> tablet</w:t>
      </w:r>
      <w:r w:rsidR="00B10CF4">
        <w:t>a</w:t>
      </w:r>
      <w:r w:rsidRPr="003702AF">
        <w:t xml:space="preserve"> dhe </w:t>
      </w:r>
      <w:r w:rsidR="00B10CF4">
        <w:t>telefona të mençur</w:t>
      </w:r>
      <w:r w:rsidRPr="003702AF">
        <w:t xml:space="preserve">. Këta shembuj shoqërohen me pika diskutimi për të udhëhequr sesionet e trajnimit. Ato janë krijuar për të ndihmuar zyrtarët e prokurimit të kuptojnë më mirë kriteret e </w:t>
      </w:r>
      <w:r w:rsidR="00B10CF4">
        <w:t>PPGJ</w:t>
      </w:r>
      <w:r w:rsidRPr="003702AF">
        <w:t>-së dhe zbatimin e tyre praktik.</w:t>
      </w:r>
    </w:p>
    <w:p w14:paraId="227748C3" w14:textId="77777777" w:rsidR="00CB6167" w:rsidRPr="003702AF" w:rsidRDefault="00CB6167" w:rsidP="00CB6167">
      <w:pPr>
        <w:pStyle w:val="Heading2"/>
      </w:pPr>
      <w:r w:rsidRPr="003702AF">
        <w:lastRenderedPageBreak/>
        <w:t>Marrëveshja e Gjelbër Evropiane</w:t>
      </w:r>
    </w:p>
    <w:p w14:paraId="552F29F8" w14:textId="77777777" w:rsidR="00CB6167" w:rsidRPr="003702AF" w:rsidRDefault="00CB6167" w:rsidP="00CB6167">
      <w:pPr>
        <w:widowControl w:val="0"/>
      </w:pPr>
      <w:r w:rsidRPr="003702AF">
        <w:t>Në nivel të BE-së, koncepti bazë i prokurimit publik të gjelbër (</w:t>
      </w:r>
      <w:r w:rsidR="00B10CF4">
        <w:t>PPGJ</w:t>
      </w:r>
      <w:r w:rsidRPr="003702AF">
        <w:t>) është ndërtuar</w:t>
      </w:r>
      <w:r w:rsidR="00C35354">
        <w:t xml:space="preserve"> duke i pasur</w:t>
      </w:r>
      <w:r w:rsidRPr="003702AF">
        <w:t xml:space="preserve"> kritere</w:t>
      </w:r>
      <w:r w:rsidR="00C35354">
        <w:t>t</w:t>
      </w:r>
      <w:r w:rsidRPr="003702AF">
        <w:t xml:space="preserve"> mjedisore të qarta, të verifikueshme, të justifikueshme dhe ambicioze për produktet dhe shërbimet, bazuar në një qasje të ciklit jetësor dhe </w:t>
      </w:r>
      <w:r w:rsidR="00C35354">
        <w:t>evidencës së bazuar</w:t>
      </w:r>
      <w:r w:rsidRPr="003702AF">
        <w:t xml:space="preserve"> shkencore.</w:t>
      </w:r>
    </w:p>
    <w:p w14:paraId="0D69F3BA" w14:textId="77777777" w:rsidR="00CB6167" w:rsidRPr="003702AF" w:rsidRDefault="00B10CF4" w:rsidP="00CB6167">
      <w:pPr>
        <w:widowControl w:val="0"/>
      </w:pPr>
      <w:r>
        <w:t>PPGJ</w:t>
      </w:r>
      <w:r w:rsidR="00CB6167" w:rsidRPr="003702AF">
        <w:t xml:space="preserve"> është një instrument vullnetar, që </w:t>
      </w:r>
      <w:r w:rsidR="00C35354">
        <w:t>i</w:t>
      </w:r>
      <w:r w:rsidR="00CB6167" w:rsidRPr="003702AF">
        <w:t>u mundëson Shteteve Anëtare të përcaktojnë shkallën në të cilën zbatohen politikat ose kriteret.</w:t>
      </w:r>
    </w:p>
    <w:p w14:paraId="34B7D7E0" w14:textId="77777777" w:rsidR="00CB6167" w:rsidRPr="003702AF" w:rsidRDefault="00CB6167" w:rsidP="00CB6167">
      <w:pPr>
        <w:widowControl w:val="0"/>
      </w:pPr>
      <w:r w:rsidRPr="003702AF">
        <w:t xml:space="preserve">Komisioni Evropian (KE) ka zhvilluar kritere vullnetare të </w:t>
      </w:r>
      <w:r w:rsidR="00B10CF4">
        <w:t>PPGJ</w:t>
      </w:r>
      <w:r w:rsidRPr="003702AF">
        <w:t>-ve për disa grupe produktesh, të cilat janë përditësuar në përputhje me zhvillimet teknologjike.</w:t>
      </w:r>
    </w:p>
    <w:p w14:paraId="0BE173C9" w14:textId="77777777" w:rsidR="00CB6167" w:rsidRPr="003702AF" w:rsidRDefault="00CB6167" w:rsidP="00CB6167">
      <w:pPr>
        <w:widowControl w:val="0"/>
      </w:pPr>
      <w:r w:rsidRPr="003702AF">
        <w:t>Në vitin 2019, BE-ja lan</w:t>
      </w:r>
      <w:r w:rsidR="00C35354">
        <w:t>soi</w:t>
      </w:r>
      <w:r w:rsidRPr="003702AF">
        <w:t xml:space="preserve"> </w:t>
      </w:r>
      <w:hyperlink r:id="rId10" w:history="1">
        <w:r w:rsidRPr="003702AF">
          <w:rPr>
            <w:rStyle w:val="Hyperlink"/>
          </w:rPr>
          <w:t xml:space="preserve">Marrëveshjen e Gjelbër Evropiane </w:t>
        </w:r>
      </w:hyperlink>
      <w:r w:rsidRPr="003702AF">
        <w:t xml:space="preserve">, një paketë </w:t>
      </w:r>
      <w:r w:rsidR="00C75D02">
        <w:t xml:space="preserve">e </w:t>
      </w:r>
      <w:r w:rsidRPr="003702AF">
        <w:t>iniciativa</w:t>
      </w:r>
      <w:r w:rsidR="00C75D02">
        <w:t>ve</w:t>
      </w:r>
      <w:r w:rsidRPr="003702AF">
        <w:t xml:space="preserve"> politik</w:t>
      </w:r>
      <w:r w:rsidR="00C75D02">
        <w:t>e</w:t>
      </w:r>
      <w:r w:rsidRPr="003702AF">
        <w:t xml:space="preserve"> që synojnë vendosjen e BE-së në rrugën drejt një tranzicioni të gjelbër, me qëllimin përfundimtar të arritjes së neutralitetit klimatik deri në vitin 2050.</w:t>
      </w:r>
    </w:p>
    <w:p w14:paraId="63239D77" w14:textId="77777777" w:rsidR="00CB6167" w:rsidRPr="003702AF" w:rsidRDefault="00CB6167" w:rsidP="00CB6167">
      <w:pPr>
        <w:widowControl w:val="0"/>
      </w:pPr>
      <w:r w:rsidRPr="003702AF">
        <w:t xml:space="preserve">Si një nga blloqet kryesore ndërtuese të Marrëveshjes së Gjelbër Evropiane, KE miratoi </w:t>
      </w:r>
      <w:r w:rsidR="00C75D02">
        <w:t xml:space="preserve">në mars të viti 2020 </w:t>
      </w:r>
      <w:r w:rsidRPr="003702AF">
        <w:t xml:space="preserve">planin e ri të </w:t>
      </w:r>
      <w:hyperlink r:id="rId11" w:history="1">
        <w:r w:rsidRPr="003702AF">
          <w:rPr>
            <w:rStyle w:val="Hyperlink"/>
          </w:rPr>
          <w:t xml:space="preserve">veprimit </w:t>
        </w:r>
      </w:hyperlink>
      <w:hyperlink r:id="rId12" w:history="1">
        <w:r w:rsidRPr="003702AF">
          <w:rPr>
            <w:rStyle w:val="Hyperlink"/>
          </w:rPr>
          <w:t xml:space="preserve">të </w:t>
        </w:r>
      </w:hyperlink>
      <w:hyperlink r:id="rId13" w:history="1">
        <w:r w:rsidRPr="003702AF">
          <w:rPr>
            <w:rStyle w:val="Hyperlink"/>
          </w:rPr>
          <w:t xml:space="preserve">ekonomisë </w:t>
        </w:r>
      </w:hyperlink>
      <w:hyperlink r:id="rId14" w:history="1">
        <w:r w:rsidR="00C75D02">
          <w:rPr>
            <w:rStyle w:val="Hyperlink"/>
          </w:rPr>
          <w:t>ciklike</w:t>
        </w:r>
      </w:hyperlink>
      <w:r w:rsidRPr="003702AF">
        <w:t>. Nën masën "Fuqizimi i konsumatorëve dhe blerës</w:t>
      </w:r>
      <w:r w:rsidR="00C75D02">
        <w:t>ve publikë" brenda Kornizës së p</w:t>
      </w:r>
      <w:r w:rsidRPr="003702AF">
        <w:t xml:space="preserve">olitikave të </w:t>
      </w:r>
      <w:r w:rsidR="00C75D02">
        <w:t>q</w:t>
      </w:r>
      <w:r w:rsidRPr="003702AF">
        <w:t xml:space="preserve">ëndrueshme të </w:t>
      </w:r>
      <w:r w:rsidR="00C75D02">
        <w:t>p</w:t>
      </w:r>
      <w:r w:rsidRPr="003702AF">
        <w:t xml:space="preserve">rodukteve, veprimet e planifikuara </w:t>
      </w:r>
      <w:r w:rsidR="0064019C">
        <w:t>lidhur me</w:t>
      </w:r>
      <w:r w:rsidRPr="003702AF">
        <w:t xml:space="preserve"> </w:t>
      </w:r>
      <w:r w:rsidR="00B10CF4">
        <w:t>PPGJ</w:t>
      </w:r>
      <w:r w:rsidRPr="003702AF">
        <w:t xml:space="preserve"> janë elaboruar.</w:t>
      </w:r>
    </w:p>
    <w:p w14:paraId="685CC7F4" w14:textId="77777777" w:rsidR="00CB6167" w:rsidRPr="003702AF" w:rsidRDefault="0064019C" w:rsidP="00CB6167">
      <w:pPr>
        <w:widowControl w:val="0"/>
      </w:pPr>
      <w:r>
        <w:t>Është thënë</w:t>
      </w:r>
      <w:r w:rsidR="00CB6167" w:rsidRPr="003702AF">
        <w:t xml:space="preserve"> se KE do të propozojë kritere dhe objektiv</w:t>
      </w:r>
      <w:r>
        <w:t>a minimale të detyrueshme të PPGJ</w:t>
      </w:r>
      <w:r w:rsidR="00CB6167" w:rsidRPr="003702AF">
        <w:t xml:space="preserve"> në legjislacionin sektorial dhe do të </w:t>
      </w:r>
      <w:r>
        <w:t>fus</w:t>
      </w:r>
      <w:r w:rsidR="00CB6167" w:rsidRPr="003702AF">
        <w:t xml:space="preserve"> raportimin e detyrueshëm për të monitoruar </w:t>
      </w:r>
      <w:r w:rsidR="00C63D78">
        <w:t>ngritjen</w:t>
      </w:r>
      <w:r w:rsidR="00CB6167" w:rsidRPr="003702AF">
        <w:t xml:space="preserve"> e Prokurimit Publik të Gjelbër pa krijuar barr</w:t>
      </w:r>
      <w:r w:rsidR="00C63D78">
        <w:t>a</w:t>
      </w:r>
      <w:r w:rsidR="00CB6167" w:rsidRPr="003702AF">
        <w:t xml:space="preserve"> administrative të pajustifikuara për blerësit publikë.</w:t>
      </w:r>
    </w:p>
    <w:p w14:paraId="4A6FC0CB" w14:textId="77777777" w:rsidR="00CB6167" w:rsidRPr="003702AF" w:rsidRDefault="00CB6167" w:rsidP="00CB6167">
      <w:pPr>
        <w:widowControl w:val="0"/>
      </w:pPr>
      <w:r w:rsidRPr="003702AF">
        <w:t xml:space="preserve">Rrjedhimisht, KE-ja po punon në mënyrë aktive në propozimin e këtyre kritereve dhe objektivave minimale të detyrueshme të </w:t>
      </w:r>
      <w:r w:rsidR="00B10CF4">
        <w:t>PPGJ</w:t>
      </w:r>
      <w:r w:rsidRPr="003702AF">
        <w:t xml:space="preserve">, si dhe futjen e raportimit të detyrueshëm për të </w:t>
      </w:r>
      <w:r w:rsidR="00C63D78">
        <w:t>përcjellë</w:t>
      </w:r>
      <w:r w:rsidRPr="003702AF">
        <w:t xml:space="preserve"> miratimin e tyre.</w:t>
      </w:r>
    </w:p>
    <w:p w14:paraId="3C440DD4" w14:textId="77777777" w:rsidR="00CB6167" w:rsidRPr="003702AF" w:rsidRDefault="00CB6167" w:rsidP="00CB6167">
      <w:pPr>
        <w:widowControl w:val="0"/>
        <w:shd w:val="clear" w:color="auto" w:fill="FFFFFF" w:themeFill="background1"/>
      </w:pPr>
      <w:r w:rsidRPr="003702AF">
        <w:t>Në kontekstin e procesit të integrimit të Kosovës në BE, veçanërisht në fushën e prokurimit publik, institucionet kombëtare dhe autoritetet kontraktuese duhet të monitorojnë nga afër këto zhvillime për t'i inkorporuar ato në praktikat kombëtare.</w:t>
      </w:r>
    </w:p>
    <w:p w14:paraId="19D34EF1" w14:textId="77777777" w:rsidR="00CB6167" w:rsidRPr="003702AF" w:rsidRDefault="00CB6167" w:rsidP="001E2A66">
      <w:pPr>
        <w:pStyle w:val="Heading3"/>
        <w:pageBreakBefore/>
      </w:pPr>
      <w:r w:rsidRPr="003702AF">
        <w:lastRenderedPageBreak/>
        <w:t>Zhvillimet Legjislative në BE</w:t>
      </w:r>
    </w:p>
    <w:p w14:paraId="5A882D9E" w14:textId="77777777" w:rsidR="009E3211" w:rsidRPr="003702AF" w:rsidRDefault="009E3211" w:rsidP="009E3211">
      <w:pPr>
        <w:shd w:val="clear" w:color="auto" w:fill="FFFFFF" w:themeFill="background1"/>
      </w:pPr>
      <w:r w:rsidRPr="003702AF">
        <w:t>Në përputhje me Marrëveshjen e Gjelbër Evropiane dhe Planin e Veprimit të Ekonomisë Rrethore, ka zhvillime të rëndësishme legjislative në nivel të BE-së. Shumë prej tyre prezantojnë:</w:t>
      </w:r>
    </w:p>
    <w:p w14:paraId="354AFDD6" w14:textId="77777777" w:rsidR="009E3211" w:rsidRPr="003702AF" w:rsidRDefault="009E3211" w:rsidP="00D673A0">
      <w:pPr>
        <w:pStyle w:val="Bullet"/>
      </w:pPr>
      <w:r w:rsidRPr="003702AF">
        <w:t xml:space="preserve">Detyrimet në lidhje </w:t>
      </w:r>
      <w:r w:rsidR="00BE6B26" w:rsidRPr="003702AF">
        <w:t>direket</w:t>
      </w:r>
      <w:r w:rsidRPr="003702AF">
        <w:t xml:space="preserve"> me prokurimin publik, ose</w:t>
      </w:r>
    </w:p>
    <w:p w14:paraId="18F8C2C0" w14:textId="77777777" w:rsidR="009E3211" w:rsidRPr="003702AF" w:rsidRDefault="009E3211" w:rsidP="00D673A0">
      <w:pPr>
        <w:pStyle w:val="Bullet"/>
      </w:pPr>
      <w:r w:rsidRPr="003702AF">
        <w:t xml:space="preserve">Detyrime të një rëndësie të madhe për </w:t>
      </w:r>
      <w:r w:rsidR="00B10CF4">
        <w:t>autoritetet kontraktuese</w:t>
      </w:r>
      <w:r w:rsidRPr="003702AF">
        <w:t>, të tilla si kërkesat sipas Direktivës së përditësuar të Performancës Energjetike të Ndërtesave.</w:t>
      </w:r>
    </w:p>
    <w:p w14:paraId="1A540895" w14:textId="77777777" w:rsidR="009E3211" w:rsidRPr="003702AF" w:rsidRDefault="009E3211" w:rsidP="009E3211">
      <w:pPr>
        <w:shd w:val="clear" w:color="auto" w:fill="FFFFFF" w:themeFill="background1"/>
      </w:pPr>
      <w:r w:rsidRPr="003702AF">
        <w:t>Aktet ligjore të miratuara deri më tani përfshijnë:</w:t>
      </w:r>
    </w:p>
    <w:p w14:paraId="24DA04E3" w14:textId="77777777" w:rsidR="00FD7E61" w:rsidRPr="003702AF" w:rsidRDefault="00FD7E61" w:rsidP="00AF34B0">
      <w:pPr>
        <w:pStyle w:val="Subtitle"/>
        <w:rPr>
          <w:rStyle w:val="IntenseEmphasis"/>
          <w:i/>
          <w:iCs w:val="0"/>
        </w:rPr>
      </w:pPr>
      <w:r w:rsidRPr="003702AF">
        <w:rPr>
          <w:rStyle w:val="IntenseEmphasis"/>
          <w:i/>
          <w:iCs w:val="0"/>
        </w:rPr>
        <w:t>Rregullorja e re e baterive</w:t>
      </w:r>
    </w:p>
    <w:p w14:paraId="5AFA3A40" w14:textId="77777777" w:rsidR="00FD7E61" w:rsidRPr="003702AF" w:rsidRDefault="00FD7E61" w:rsidP="00AF34B0">
      <w:pPr>
        <w:pStyle w:val="Bullet"/>
        <w:rPr>
          <w:rFonts w:ascii="Times New Roman" w:hAnsi="Times New Roman"/>
        </w:rPr>
      </w:pPr>
      <w:r w:rsidRPr="003702AF">
        <w:rPr>
          <w:b/>
          <w:bCs/>
        </w:rPr>
        <w:t xml:space="preserve">Rregullorja (BE) 2023/1542 </w:t>
      </w:r>
      <w:r w:rsidRPr="003702AF">
        <w:t>e Parlamentit Evropian dhe e Këshillit e datës 12 korrik 2023 në lidhje me bateritë dhe mbet</w:t>
      </w:r>
      <w:r w:rsidR="00BE6B26">
        <w:t>jet</w:t>
      </w:r>
      <w:r w:rsidRPr="003702AF">
        <w:t xml:space="preserve"> e baterive, duke ndryshuar Direktivën 2008/98/EC dhe Rregulloren (BE) 2019/1020 dhe duke shfuqizuar Direktivën 2006/66/EC (Tekst me rëndësinë e ZEE)</w:t>
      </w:r>
    </w:p>
    <w:p w14:paraId="4C999585" w14:textId="77777777" w:rsidR="00D673A0" w:rsidRPr="003702AF" w:rsidRDefault="00D673A0" w:rsidP="00D673A0">
      <w:r w:rsidRPr="003702AF">
        <w:t>Kjo rregullore përcakton kërkesat për prokurimin publik të gjelbër të baterive ose produkteve që përmbajnë bateri. Është planifikuar miratimi i akteve të deleguara që vendosin kritere për dhënien e procedurave të prokurimit për bateritë ose produktet që përmbajnë bateri.</w:t>
      </w:r>
    </w:p>
    <w:p w14:paraId="3B09FB37" w14:textId="77777777" w:rsidR="00AF34B0" w:rsidRPr="003702AF" w:rsidRDefault="001C50EA" w:rsidP="001C50EA">
      <w:pPr>
        <w:pStyle w:val="Subtitle"/>
      </w:pPr>
      <w:r w:rsidRPr="003702AF">
        <w:t>Direktiva e rishikuar për automjetet e pastra</w:t>
      </w:r>
    </w:p>
    <w:p w14:paraId="08F7360A" w14:textId="77777777" w:rsidR="001C50EA" w:rsidRPr="003702AF" w:rsidRDefault="001C50EA" w:rsidP="001C50EA">
      <w:pPr>
        <w:pStyle w:val="Bullet"/>
      </w:pPr>
      <w:r w:rsidRPr="003702AF">
        <w:rPr>
          <w:b/>
          <w:bCs/>
        </w:rPr>
        <w:t xml:space="preserve">Direktiva (BE) 2019/1161 </w:t>
      </w:r>
      <w:r w:rsidRPr="003702AF">
        <w:t>e Parlamentit Evropian dhe e Këshillit e datës 20 qershor 2019 që ndryshon Direktivën 2009/33/KE për promovimin e mjeteve të transportit rrugor të pastër dhe me efikasitet energjetik (Tekst me rëndësi për ZEE).</w:t>
      </w:r>
    </w:p>
    <w:p w14:paraId="0EE0D4EF" w14:textId="77777777" w:rsidR="00D673A0" w:rsidRPr="003702AF" w:rsidRDefault="00D673A0" w:rsidP="001C50EA">
      <w:pPr>
        <w:pStyle w:val="Bulletsindent"/>
        <w:numPr>
          <w:ilvl w:val="0"/>
          <w:numId w:val="0"/>
        </w:numPr>
      </w:pPr>
      <w:r w:rsidRPr="003702AF">
        <w:t>Direktiva e rishikuar për automjetet e pastra përcakton "automjetet e pastra" dhe vendos objektivat kombëtare për prokurimin e tyre publik. Ai zbatohet për forma të ndryshme të prokurimit publik, duke përfshirë blerjen, qiranë, qiranë dhe kontratat e shërbimeve përkatëse.</w:t>
      </w:r>
    </w:p>
    <w:p w14:paraId="62558A3F" w14:textId="77777777" w:rsidR="00695647" w:rsidRPr="003702AF" w:rsidRDefault="00695647" w:rsidP="00AF34B0">
      <w:pPr>
        <w:pStyle w:val="Subtitle"/>
      </w:pPr>
      <w:r w:rsidRPr="003702AF">
        <w:t xml:space="preserve">Ligji i Industrisë </w:t>
      </w:r>
      <w:r w:rsidR="00BE6B26">
        <w:t>me emetim zero</w:t>
      </w:r>
    </w:p>
    <w:p w14:paraId="06A58049" w14:textId="77777777" w:rsidR="00695647" w:rsidRPr="003702AF" w:rsidRDefault="00695647" w:rsidP="00D673A0">
      <w:pPr>
        <w:pStyle w:val="Bullet"/>
      </w:pPr>
      <w:r w:rsidRPr="003702AF">
        <w:rPr>
          <w:b/>
          <w:bCs/>
        </w:rPr>
        <w:t xml:space="preserve">Rregullorja (BE) 2024/1735 </w:t>
      </w:r>
      <w:r w:rsidRPr="003702AF">
        <w:t xml:space="preserve">e Parlamentit Evropian dhe e Këshillit e datës 13 qershor 2024 për krijimin e një kuadri masash për forcimin e ekosistemit të prodhimit të teknologjisë </w:t>
      </w:r>
      <w:r w:rsidR="00BE6B26">
        <w:t>me emetim zero</w:t>
      </w:r>
      <w:r w:rsidRPr="003702AF">
        <w:t xml:space="preserve"> të Evropës dhe ndryshimin e Rregullores (BE) 2018/1724 (Tekst me rëndësi për EEA)</w:t>
      </w:r>
    </w:p>
    <w:p w14:paraId="16372B7E" w14:textId="77777777" w:rsidR="00D673A0" w:rsidRPr="003702AF" w:rsidRDefault="00BE6B26" w:rsidP="00F509DE">
      <w:r>
        <w:t>Ligji i industrisë me emetim zero</w:t>
      </w:r>
      <w:r w:rsidR="00D673A0" w:rsidRPr="003702AF">
        <w:t xml:space="preserve"> mbulon produktet </w:t>
      </w:r>
      <w:r>
        <w:t>finale</w:t>
      </w:r>
      <w:r w:rsidR="00D673A0" w:rsidRPr="003702AF">
        <w:t xml:space="preserve">, komponentët dhe makineritë e nevojshme për prodhimin e teknologjive </w:t>
      </w:r>
      <w:r>
        <w:t>me emetim zero</w:t>
      </w:r>
      <w:r w:rsidR="00D673A0" w:rsidRPr="003702AF">
        <w:t xml:space="preserve">. </w:t>
      </w:r>
      <w:r>
        <w:t>Ligji e</w:t>
      </w:r>
      <w:r w:rsidR="00D673A0" w:rsidRPr="003702AF">
        <w:t xml:space="preserve"> rrit kërkesën për energji të ri</w:t>
      </w:r>
      <w:r>
        <w:t>përtritshme</w:t>
      </w:r>
      <w:r w:rsidR="00D673A0" w:rsidRPr="003702AF">
        <w:t xml:space="preserve"> duke zbatuar kritere të detyrueshme </w:t>
      </w:r>
      <w:r>
        <w:t>pa çmim</w:t>
      </w:r>
      <w:r w:rsidR="00D673A0" w:rsidRPr="003702AF">
        <w:t xml:space="preserve"> në procedurat e prokurimit për teknologjitë e pastra dhe ankandet e energjisë së </w:t>
      </w:r>
      <w:r w:rsidRPr="003702AF">
        <w:t>ri</w:t>
      </w:r>
      <w:r>
        <w:t>përtritshme</w:t>
      </w:r>
      <w:r w:rsidR="00D673A0" w:rsidRPr="003702AF">
        <w:t xml:space="preserve">. Autoritetet publike duhet të marrin parasysh kritere të tilla si qëndrueshmëria, </w:t>
      </w:r>
      <w:r>
        <w:t>përshtatshmëria (rezilienca)</w:t>
      </w:r>
      <w:r w:rsidR="00D673A0" w:rsidRPr="003702AF">
        <w:t>, siguria kibernetike dhe faktorë të tjerë cilësorë.</w:t>
      </w:r>
    </w:p>
    <w:p w14:paraId="5D8C3260" w14:textId="77777777" w:rsidR="001E2A66" w:rsidRPr="003702AF" w:rsidRDefault="001E2A66" w:rsidP="00F509DE"/>
    <w:p w14:paraId="66757027" w14:textId="77777777" w:rsidR="001E2A66" w:rsidRPr="003702AF" w:rsidRDefault="001E2A66" w:rsidP="00F509DE"/>
    <w:p w14:paraId="425C7BDC" w14:textId="77777777" w:rsidR="001E2A66" w:rsidRPr="003702AF" w:rsidRDefault="001E2A66" w:rsidP="00F509DE"/>
    <w:p w14:paraId="71086BC7" w14:textId="77777777" w:rsidR="00B4198F" w:rsidRPr="003702AF" w:rsidRDefault="00B4198F" w:rsidP="00B4198F">
      <w:pPr>
        <w:pStyle w:val="Subtitle"/>
      </w:pPr>
      <w:r w:rsidRPr="003702AF">
        <w:t>Direktiva e rishikuar për efikasitetin e energjisë</w:t>
      </w:r>
    </w:p>
    <w:p w14:paraId="6B1BAEB8" w14:textId="77777777" w:rsidR="00B4198F" w:rsidRPr="003702AF" w:rsidRDefault="00B4198F" w:rsidP="00D673A0">
      <w:pPr>
        <w:pStyle w:val="Bullet"/>
      </w:pPr>
      <w:r w:rsidRPr="003702AF">
        <w:rPr>
          <w:b/>
          <w:bCs/>
        </w:rPr>
        <w:t xml:space="preserve">Direktiva (BE) 2023/1791 </w:t>
      </w:r>
      <w:r w:rsidRPr="003702AF">
        <w:t>e Parlamentit Evropian dhe e Këshillit e datës 13 shtator 2023 për efiçencën e energjisë dhe ndryshimin e Rregullores (BE) 2023/955 (riformuluar) (Tekst me rëndësi për ZEE)</w:t>
      </w:r>
    </w:p>
    <w:p w14:paraId="200ACBBF" w14:textId="77777777" w:rsidR="00D673A0" w:rsidRPr="003702AF" w:rsidRDefault="00D673A0" w:rsidP="00D673A0">
      <w:r w:rsidRPr="003702AF">
        <w:t>Direktiva e Efiçencës së Energjisë (</w:t>
      </w:r>
      <w:r w:rsidR="00BE6B26">
        <w:t>D</w:t>
      </w:r>
      <w:r w:rsidRPr="003702AF">
        <w:t xml:space="preserve">EE) </w:t>
      </w:r>
      <w:r w:rsidR="00BE6B26">
        <w:t xml:space="preserve">paraqet </w:t>
      </w:r>
      <w:r w:rsidRPr="003702AF">
        <w:t>masa</w:t>
      </w:r>
      <w:r w:rsidR="00BE6B26">
        <w:t>t</w:t>
      </w:r>
      <w:r w:rsidRPr="003702AF">
        <w:t xml:space="preserve"> ligjërisht të detyrueshme për të rritur përpjekjet e Shteteve Anëtare për të përdorur energjinë në mënyrë më efikase në të gjitha fazat e zinxhirit të energjisë, nga transformimi dhe shpërndarja e energjisë deri te konsumi përfundimtar. Roli kryesor i sektorit publik njihet në dispozitat e </w:t>
      </w:r>
      <w:r w:rsidR="00BE6B26">
        <w:t>D</w:t>
      </w:r>
      <w:r w:rsidRPr="003702AF">
        <w:t>EE për prokurimin publik, duke kërkuar që qeveria qendrore, në kushte të caktuara, të blejë produktet, shërbimet dhe ndërtesat me efikasitet më të lartë energjetik.</w:t>
      </w:r>
    </w:p>
    <w:p w14:paraId="59371E73" w14:textId="77777777" w:rsidR="00D673A0" w:rsidRPr="003702AF" w:rsidRDefault="00D673A0" w:rsidP="00D673A0">
      <w:r w:rsidRPr="003702AF">
        <w:t>Komisioni Evropian ka publikuar një dokument udhëzues për interpretimin e neneve 5, 6 dhe 7 të Direktivës:</w:t>
      </w:r>
    </w:p>
    <w:p w14:paraId="3298073B" w14:textId="77777777" w:rsidR="00B4198F" w:rsidRPr="003702AF" w:rsidRDefault="00D673A0" w:rsidP="001C5F78">
      <w:pPr>
        <w:pStyle w:val="Bullet"/>
      </w:pPr>
      <w:r w:rsidRPr="003702AF">
        <w:rPr>
          <w:b/>
          <w:bCs/>
        </w:rPr>
        <w:t xml:space="preserve">Rekomandimi i Komisionit (BE) 2024/1716 </w:t>
      </w:r>
      <w:r w:rsidRPr="003702AF">
        <w:t>që përcakton udhëzimet për interpretimin e neneve 5, 6 dhe 7 të Direktivës (BE) 2023/1791 në lidhje me konsumin e energjisë në sektorin publik, rinovimin e ndërtesave publike dhe prokurimin publik.</w:t>
      </w:r>
    </w:p>
    <w:p w14:paraId="0D5A3A07" w14:textId="77777777" w:rsidR="00695647" w:rsidRPr="003702AF" w:rsidRDefault="00B81FB4" w:rsidP="00AF34B0">
      <w:pPr>
        <w:pStyle w:val="Subtitle"/>
      </w:pPr>
      <w:r w:rsidRPr="003702AF">
        <w:t>Direktiva për Performancën Energjetike të Ndërtesave</w:t>
      </w:r>
    </w:p>
    <w:p w14:paraId="5970DEFB" w14:textId="77777777" w:rsidR="00D61436" w:rsidRPr="003702AF" w:rsidRDefault="00D61436" w:rsidP="001C5F78">
      <w:pPr>
        <w:pStyle w:val="Bullet"/>
      </w:pPr>
      <w:r w:rsidRPr="003702AF">
        <w:rPr>
          <w:b/>
          <w:bCs/>
        </w:rPr>
        <w:t xml:space="preserve">Direktiva (BE) 2024/1275 </w:t>
      </w:r>
      <w:r w:rsidRPr="003702AF">
        <w:t xml:space="preserve">e Parlamentit Evropian dhe e Këshillit e datës 24 Prill 2024 </w:t>
      </w:r>
      <w:r w:rsidR="00BE6B26">
        <w:t>për</w:t>
      </w:r>
      <w:r w:rsidRPr="003702AF">
        <w:t xml:space="preserve"> performancën energjetike të ndërtesave (rifo</w:t>
      </w:r>
      <w:r w:rsidR="00BE6B26">
        <w:t>rmuluar</w:t>
      </w:r>
      <w:r w:rsidRPr="003702AF">
        <w:t>) (Tekst me rëndësi për ZEE)</w:t>
      </w:r>
    </w:p>
    <w:p w14:paraId="5A27251D" w14:textId="77777777" w:rsidR="001C5F78" w:rsidRPr="003702AF" w:rsidRDefault="001C5F78" w:rsidP="002B20A3">
      <w:pPr>
        <w:pStyle w:val="Bulletsindent"/>
        <w:numPr>
          <w:ilvl w:val="0"/>
          <w:numId w:val="0"/>
        </w:numPr>
      </w:pPr>
      <w:r w:rsidRPr="003702AF">
        <w:t xml:space="preserve">Megjithëse kjo direktivë nuk lidhet drejtpërdrejt me prokurimin, ajo vendos kërkesa ambicioze për efiçencën e energjisë dhe zgjuarsinë në ndërtesa, duke e bërë atë shumë të rëndësishme për </w:t>
      </w:r>
      <w:r w:rsidR="00B10CF4">
        <w:t>autoritetet kontraktuese</w:t>
      </w:r>
      <w:r w:rsidRPr="003702AF">
        <w:t xml:space="preserve"> të përfshira në blerjen e punimeve dhe shërbimeve të projektimit dhe ndërtimit për ndërtesat.</w:t>
      </w:r>
    </w:p>
    <w:p w14:paraId="2AC7B2E3" w14:textId="77777777" w:rsidR="00F42E5F" w:rsidRPr="003702AF" w:rsidRDefault="00F42E5F" w:rsidP="00F42E5F">
      <w:pPr>
        <w:pStyle w:val="Subtitle"/>
      </w:pPr>
      <w:r w:rsidRPr="003702AF">
        <w:t xml:space="preserve">Direktiva e rishikuar për energjinë e </w:t>
      </w:r>
      <w:r w:rsidR="00BE6B26">
        <w:t>ripërtritshme</w:t>
      </w:r>
    </w:p>
    <w:p w14:paraId="4A2670C7" w14:textId="77777777" w:rsidR="002B20A3" w:rsidRPr="003702AF" w:rsidRDefault="00F42E5F" w:rsidP="00F42E5F">
      <w:pPr>
        <w:pStyle w:val="Bullet"/>
      </w:pPr>
      <w:r w:rsidRPr="003702AF">
        <w:rPr>
          <w:b/>
          <w:bCs/>
        </w:rPr>
        <w:t xml:space="preserve">Direktiva (BE) 2023/2413 </w:t>
      </w:r>
      <w:r w:rsidRPr="003702AF">
        <w:t xml:space="preserve">e Parlamentit Evropian dhe e Këshillit e datës 18 tetor 2023 që ndryshon Direktivën (BE) 2018/2001, Rregulloren (BE) 2018/1999 dhe Direktivën 98/70/KE në lidhje me promovimin e energjisë nga burimet e </w:t>
      </w:r>
      <w:r w:rsidR="00BE6B26">
        <w:t>ripërtritshme</w:t>
      </w:r>
      <w:r w:rsidRPr="003702AF">
        <w:t xml:space="preserve"> burimet, dhe shfuqizimi i Direktivës së Këshillit (BE) 2015/652</w:t>
      </w:r>
    </w:p>
    <w:p w14:paraId="3FC1529E" w14:textId="77777777" w:rsidR="00874169" w:rsidRPr="003702AF" w:rsidRDefault="001C5F78" w:rsidP="00874169">
      <w:pPr>
        <w:pStyle w:val="Bullet"/>
        <w:numPr>
          <w:ilvl w:val="0"/>
          <w:numId w:val="0"/>
        </w:numPr>
      </w:pPr>
      <w:r w:rsidRPr="003702AF">
        <w:t xml:space="preserve">Kjo direktivë </w:t>
      </w:r>
      <w:r w:rsidR="00940100">
        <w:t>iu jep mandatin</w:t>
      </w:r>
      <w:r w:rsidRPr="003702AF">
        <w:t xml:space="preserve"> që Shtetet Anëtare të përcaktojnë qartë çdo specifikim teknik që duhet të plotësojnë pajisjet dhe sistemet e energjisë së </w:t>
      </w:r>
      <w:r w:rsidR="00BE6B26">
        <w:t>ripërtritshme</w:t>
      </w:r>
      <w:r w:rsidRPr="003702AF">
        <w:t xml:space="preserve"> për të qenë të pranueshëm për prokurimin publik.</w:t>
      </w:r>
    </w:p>
    <w:p w14:paraId="768B4672" w14:textId="77777777" w:rsidR="007F5962" w:rsidRPr="003702AF" w:rsidRDefault="007F5962" w:rsidP="00252453">
      <w:pPr>
        <w:pStyle w:val="Subtitle"/>
      </w:pPr>
      <w:r w:rsidRPr="003702AF">
        <w:t>Ekodizajn</w:t>
      </w:r>
      <w:r w:rsidR="00940100">
        <w:t>i</w:t>
      </w:r>
      <w:r w:rsidRPr="003702AF">
        <w:t xml:space="preserve"> për Rregulloren e Produkteve të Qëndrueshme</w:t>
      </w:r>
    </w:p>
    <w:p w14:paraId="581A7574" w14:textId="77777777" w:rsidR="007F5962" w:rsidRPr="003702AF" w:rsidRDefault="007F5962" w:rsidP="00252453">
      <w:pPr>
        <w:pStyle w:val="Bullet"/>
      </w:pPr>
      <w:r w:rsidRPr="003702AF">
        <w:rPr>
          <w:b/>
          <w:bCs/>
        </w:rPr>
        <w:t xml:space="preserve">Rregullorja (BE) 2024/1781 </w:t>
      </w:r>
      <w:r w:rsidRPr="003702AF">
        <w:t xml:space="preserve">e Parlamentit Evropian dhe e Këshillit e datës 13 qershor 2024 që krijon një kornizë për vendosjen e kërkesave të ekodizajnit për produkte të </w:t>
      </w:r>
      <w:r w:rsidRPr="003702AF">
        <w:lastRenderedPageBreak/>
        <w:t>qëndrueshme, duke ndryshuar Direktivën (BE) 2020/1828 dhe Rregulloren (BE) 2023/1542 dhe duke shfuqizuar Direktiv</w:t>
      </w:r>
      <w:r w:rsidR="00940100">
        <w:t>ën</w:t>
      </w:r>
      <w:r w:rsidRPr="003702AF">
        <w:t xml:space="preserve"> 2009/125/EC (Tekst me rëndësi për ZEE)</w:t>
      </w:r>
    </w:p>
    <w:p w14:paraId="0A18CEAB" w14:textId="77777777" w:rsidR="00733B51" w:rsidRPr="003702AF" w:rsidRDefault="00733B51" w:rsidP="00252453">
      <w:r w:rsidRPr="003702AF">
        <w:t>Rregullorja përcakton një kornizë për përcaktimin e kërkesave të projektimit ekologjik për grupe të veçanta produktesh. Ai lejon Komisionin Evropian të vendosë kushtet e performancës dhe informacionit (kërkesat e projektimit ekologjik) për pothuajse të gjitha kategoritë e mallrave fizike, me përjashtime të caktuara. Komisioni mund të miratojë akte zbatuese që përcaktojnë kërkesat minimale të detyrueshme të PP</w:t>
      </w:r>
      <w:r w:rsidR="00940100">
        <w:t>GJ</w:t>
      </w:r>
      <w:r w:rsidRPr="003702AF">
        <w:t xml:space="preserve"> për blerësit publikë për produktet që ai rregullon. Si legjislacion kornizë, rregullat konkrete të produktit dhe kërkesat e </w:t>
      </w:r>
      <w:r w:rsidR="00B10CF4">
        <w:t>PPGJ</w:t>
      </w:r>
      <w:r w:rsidRPr="003702AF">
        <w:t>-ve do të futen në mënyrë progresive, ose në bazë të produktit për produkt ose horizontalisht, për grupet e produkteve me karakteristika të ngjashme. Këto kërkesa për PP</w:t>
      </w:r>
      <w:r w:rsidR="00940100">
        <w:t>GJ</w:t>
      </w:r>
      <w:r w:rsidRPr="003702AF">
        <w:t xml:space="preserve"> mund të marrin formën e specifikimeve teknike, kritereve të dhënies së kontratës, kushteve të performancës së kontratës ose objektivave.</w:t>
      </w:r>
    </w:p>
    <w:p w14:paraId="74BD1C55" w14:textId="77777777" w:rsidR="007F5962" w:rsidRPr="003702AF" w:rsidRDefault="00252453" w:rsidP="00252453">
      <w:pPr>
        <w:pStyle w:val="Subtitle"/>
      </w:pPr>
      <w:r w:rsidRPr="003702AF">
        <w:t>Rregullore për produktet pa shpyllëzim</w:t>
      </w:r>
    </w:p>
    <w:p w14:paraId="15F4DB26" w14:textId="77777777" w:rsidR="00252453" w:rsidRPr="003702AF" w:rsidRDefault="00252453" w:rsidP="00252453">
      <w:pPr>
        <w:pStyle w:val="Bullet"/>
      </w:pPr>
      <w:r w:rsidRPr="003702AF">
        <w:rPr>
          <w:b/>
          <w:bCs/>
        </w:rPr>
        <w:t xml:space="preserve">Rregullorja (BE) 2023/1115 </w:t>
      </w:r>
      <w:r w:rsidRPr="003702AF">
        <w:t xml:space="preserve">e Parlamentit Evropian dhe e Këshillit e datës 31 maj 2023 për vënien në dispozicion në tregun e </w:t>
      </w:r>
      <w:r w:rsidR="00940100">
        <w:t>Unionit</w:t>
      </w:r>
      <w:r w:rsidRPr="003702AF">
        <w:t xml:space="preserve"> dhe eksportin nga </w:t>
      </w:r>
      <w:r w:rsidR="00940100">
        <w:t>Unioni</w:t>
      </w:r>
      <w:r w:rsidRPr="003702AF">
        <w:t xml:space="preserve"> i disa mallrave dhe produkteve që lidhen me shpyllëzimin dhe degradimin e pyjeve dhe shfuqizimin e Rregullores (BE) </w:t>
      </w:r>
      <w:r w:rsidR="009E57C7">
        <w:t>n</w:t>
      </w:r>
      <w:r w:rsidR="009E57C7" w:rsidRPr="003702AF">
        <w:t>r.</w:t>
      </w:r>
      <w:r w:rsidRPr="003702AF">
        <w:t xml:space="preserve"> 995/2010 (Tekst me rëndësi për ZEE)</w:t>
      </w:r>
    </w:p>
    <w:p w14:paraId="6D87F46E" w14:textId="77777777" w:rsidR="00733B51" w:rsidRPr="003702AF" w:rsidRDefault="00733B51" w:rsidP="00733B51">
      <w:r w:rsidRPr="003702AF">
        <w:t>Sipas Rregullores, mallrat dhe produktet përkatëse mund të vendosen ose të eksportohen nga tregu i BE-së vetëm nëse ato janë pa shpyllëzim dhe prodhohen ligjërisht. Ndëshkimet për mospërputhje, që do të përcaktohen nga ligji kombëtar, përfshijnë përjashtimin e përkohshëm nga proceset e prokurimit publik.</w:t>
      </w:r>
    </w:p>
    <w:p w14:paraId="13B8FF93" w14:textId="77777777" w:rsidR="00C01166" w:rsidRPr="003702AF" w:rsidRDefault="00737748" w:rsidP="00C01166">
      <w:pPr>
        <w:pStyle w:val="Heading2"/>
      </w:pPr>
      <w:r w:rsidRPr="003702AF">
        <w:lastRenderedPageBreak/>
        <w:t xml:space="preserve">Kriteret </w:t>
      </w:r>
      <w:r w:rsidR="00C01166" w:rsidRPr="003702AF">
        <w:t>e Prokurimit Publik të Gjelbër</w:t>
      </w:r>
    </w:p>
    <w:p w14:paraId="3B315530" w14:textId="77777777" w:rsidR="0085735E" w:rsidRPr="003702AF" w:rsidRDefault="00B10CF4" w:rsidP="0085735E">
      <w:r>
        <w:t>PPGJ</w:t>
      </w:r>
      <w:r w:rsidR="0085735E" w:rsidRPr="003702AF">
        <w:t xml:space="preserve"> është një instrument vullnetar dhe Shtetet Anëtare </w:t>
      </w:r>
      <w:r w:rsidR="00940100">
        <w:t xml:space="preserve">e </w:t>
      </w:r>
      <w:r w:rsidR="0085735E" w:rsidRPr="003702AF">
        <w:t xml:space="preserve">kanë diskrecionin të mos aplikojnë </w:t>
      </w:r>
      <w:r>
        <w:t>PPGJ</w:t>
      </w:r>
      <w:r w:rsidR="0085735E" w:rsidRPr="003702AF">
        <w:t xml:space="preserve"> ose të përcaktojnë vetë shkallën në të cilën do të </w:t>
      </w:r>
      <w:r w:rsidR="00940100">
        <w:t>zbatohen politikat ose kriteret</w:t>
      </w:r>
      <w:r w:rsidR="0085735E" w:rsidRPr="003702AF">
        <w:t>.</w:t>
      </w:r>
    </w:p>
    <w:p w14:paraId="6E9DE169" w14:textId="77777777" w:rsidR="003A181D" w:rsidRPr="003702AF" w:rsidRDefault="00C01166" w:rsidP="00C01166">
      <w:pPr>
        <w:widowControl w:val="0"/>
      </w:pPr>
      <w:r w:rsidRPr="003702AF">
        <w:t xml:space="preserve">Komisioni Evropian ka zhvilluar </w:t>
      </w:r>
      <w:hyperlink r:id="rId15" w:history="1">
        <w:r w:rsidRPr="003702AF">
          <w:rPr>
            <w:rStyle w:val="Hyperlink"/>
          </w:rPr>
          <w:t xml:space="preserve">kritere vullnetare </w:t>
        </w:r>
        <w:r w:rsidR="00B10CF4">
          <w:rPr>
            <w:rStyle w:val="Hyperlink"/>
          </w:rPr>
          <w:t>PPGJ</w:t>
        </w:r>
        <w:r w:rsidRPr="003702AF">
          <w:rPr>
            <w:rStyle w:val="Hyperlink"/>
          </w:rPr>
          <w:t xml:space="preserve"> </w:t>
        </w:r>
      </w:hyperlink>
      <w:r w:rsidRPr="003702AF">
        <w:t>për disa grupe produktesh.</w:t>
      </w:r>
    </w:p>
    <w:p w14:paraId="39DD6438" w14:textId="77777777" w:rsidR="003A181D" w:rsidRPr="003702AF" w:rsidRDefault="00F63432" w:rsidP="00C01166">
      <w:pPr>
        <w:widowControl w:val="0"/>
      </w:pPr>
      <w:r w:rsidRPr="003702AF">
        <w:t>Lista aktuale e grupit</w:t>
      </w:r>
      <w:r w:rsidR="009E57C7">
        <w:t xml:space="preserve"> mbulon</w:t>
      </w:r>
      <w:r w:rsidRPr="003702AF">
        <w:t>:</w:t>
      </w:r>
    </w:p>
    <w:p w14:paraId="7D5A818C" w14:textId="77777777" w:rsidR="00F63432" w:rsidRPr="003702AF" w:rsidRDefault="00F63432" w:rsidP="00F63432">
      <w:pPr>
        <w:pStyle w:val="Bullet"/>
      </w:pPr>
      <w:r w:rsidRPr="003702AF">
        <w:t>Kompjuterë, monitorë, tableta dhe telefona inteligjentë</w:t>
      </w:r>
    </w:p>
    <w:p w14:paraId="1428C376" w14:textId="77777777" w:rsidR="00F63432" w:rsidRPr="00940100" w:rsidRDefault="00F63432" w:rsidP="00F63432">
      <w:pPr>
        <w:pStyle w:val="Bullet"/>
        <w:rPr>
          <w:i/>
        </w:rPr>
      </w:pPr>
      <w:r w:rsidRPr="003702AF">
        <w:t xml:space="preserve">Qendrat e të dhënave, dhomat e serverëve dhe shërbimet </w:t>
      </w:r>
      <w:r w:rsidRPr="00940100">
        <w:rPr>
          <w:i/>
        </w:rPr>
        <w:t>cloud</w:t>
      </w:r>
    </w:p>
    <w:p w14:paraId="7ADF330C" w14:textId="77777777" w:rsidR="00F63432" w:rsidRPr="003702AF" w:rsidRDefault="00F63432" w:rsidP="00F63432">
      <w:pPr>
        <w:pStyle w:val="Bullet"/>
      </w:pPr>
      <w:r w:rsidRPr="003702AF">
        <w:t>Energjia elektrike</w:t>
      </w:r>
    </w:p>
    <w:p w14:paraId="5FB64181" w14:textId="77777777" w:rsidR="00F63432" w:rsidRPr="003702AF" w:rsidRDefault="00F63432" w:rsidP="00F63432">
      <w:pPr>
        <w:pStyle w:val="Bullet"/>
      </w:pPr>
      <w:r w:rsidRPr="003702AF">
        <w:t xml:space="preserve">Shërbime </w:t>
      </w:r>
      <w:r w:rsidR="00940100">
        <w:t xml:space="preserve">të furnizimit me </w:t>
      </w:r>
      <w:r w:rsidR="00940100" w:rsidRPr="003702AF">
        <w:t>ushqim</w:t>
      </w:r>
      <w:r w:rsidR="00940100">
        <w:t xml:space="preserve"> “</w:t>
      </w:r>
      <w:r w:rsidRPr="003702AF">
        <w:t>katering</w:t>
      </w:r>
      <w:r w:rsidR="00940100">
        <w:t>”</w:t>
      </w:r>
      <w:r w:rsidRPr="003702AF">
        <w:t xml:space="preserve"> dhe makina shitëse</w:t>
      </w:r>
    </w:p>
    <w:p w14:paraId="6DFBCC4D" w14:textId="77777777" w:rsidR="00F63432" w:rsidRPr="003702AF" w:rsidRDefault="00940100" w:rsidP="00F63432">
      <w:pPr>
        <w:pStyle w:val="Bullet"/>
      </w:pPr>
      <w:r>
        <w:t xml:space="preserve">Orendi </w:t>
      </w:r>
    </w:p>
    <w:p w14:paraId="6FD98906" w14:textId="77777777" w:rsidR="00F63432" w:rsidRPr="003702AF" w:rsidRDefault="00F63432" w:rsidP="00F63432">
      <w:pPr>
        <w:pStyle w:val="Bullet"/>
      </w:pPr>
      <w:r w:rsidRPr="003702AF">
        <w:t xml:space="preserve">Pajisjet e imazhit, materialet </w:t>
      </w:r>
      <w:r w:rsidR="00940100">
        <w:t>shpenzuese</w:t>
      </w:r>
      <w:r w:rsidRPr="003702AF">
        <w:t xml:space="preserve"> dhe shërbimet e printimit</w:t>
      </w:r>
    </w:p>
    <w:p w14:paraId="076AB07B" w14:textId="77777777" w:rsidR="00F63432" w:rsidRPr="003702AF" w:rsidRDefault="00F63432" w:rsidP="00F63432">
      <w:pPr>
        <w:pStyle w:val="Bullet"/>
      </w:pPr>
      <w:r w:rsidRPr="003702AF">
        <w:t>Shërbimet e pastrimit të ambienteve të brendshme</w:t>
      </w:r>
    </w:p>
    <w:p w14:paraId="2301178E" w14:textId="77777777" w:rsidR="00F63432" w:rsidRPr="003702AF" w:rsidRDefault="00F63432" w:rsidP="00F63432">
      <w:pPr>
        <w:pStyle w:val="Bullet"/>
      </w:pPr>
      <w:r w:rsidRPr="003702AF">
        <w:t>Projektimi, ndërtimi dhe menaxhimi i ndërtesave të zyrave</w:t>
      </w:r>
    </w:p>
    <w:p w14:paraId="7BF17740" w14:textId="77777777" w:rsidR="00F63432" w:rsidRPr="003702AF" w:rsidRDefault="00940100" w:rsidP="00F63432">
      <w:pPr>
        <w:pStyle w:val="Bullet"/>
      </w:pPr>
      <w:r>
        <w:t>Ngjyra</w:t>
      </w:r>
      <w:r w:rsidR="00F63432" w:rsidRPr="003702AF">
        <w:t>, llaqe dhe shenja rrugore</w:t>
      </w:r>
    </w:p>
    <w:p w14:paraId="7978DC31" w14:textId="77777777" w:rsidR="00F63432" w:rsidRPr="003702AF" w:rsidRDefault="00F63432" w:rsidP="00F63432">
      <w:pPr>
        <w:pStyle w:val="Bullet"/>
      </w:pPr>
      <w:r w:rsidRPr="003702AF">
        <w:t>Mirëmbajtja e hapësirës publike</w:t>
      </w:r>
    </w:p>
    <w:p w14:paraId="2CA42D14" w14:textId="77777777" w:rsidR="00F63432" w:rsidRPr="003702AF" w:rsidRDefault="00F63432" w:rsidP="00F63432">
      <w:pPr>
        <w:pStyle w:val="Bullet"/>
      </w:pPr>
      <w:r w:rsidRPr="003702AF">
        <w:t>Projektimi, ndërtimi dhe mirëmbajtja e rrugëve</w:t>
      </w:r>
    </w:p>
    <w:p w14:paraId="316213AF" w14:textId="77777777" w:rsidR="00F63432" w:rsidRPr="003702AF" w:rsidRDefault="00F63432" w:rsidP="00F63432">
      <w:pPr>
        <w:pStyle w:val="Bullet"/>
      </w:pPr>
      <w:r w:rsidRPr="003702AF">
        <w:t>Ndriçimi rrugor dhe sinjalistika e trafikut</w:t>
      </w:r>
    </w:p>
    <w:p w14:paraId="1A99FBFD" w14:textId="77777777" w:rsidR="00F63432" w:rsidRPr="003702AF" w:rsidRDefault="00F63432" w:rsidP="00F63432">
      <w:pPr>
        <w:pStyle w:val="Bullet"/>
      </w:pPr>
      <w:r w:rsidRPr="003702AF">
        <w:t>Transporti rrugor</w:t>
      </w:r>
    </w:p>
    <w:p w14:paraId="2064E377" w14:textId="77777777" w:rsidR="00F63432" w:rsidRPr="003702AF" w:rsidRDefault="00F63432" w:rsidP="00F63432">
      <w:pPr>
        <w:pStyle w:val="Bullet"/>
      </w:pPr>
      <w:r w:rsidRPr="003702AF">
        <w:t>Produkte dhe shërbime tekstile.</w:t>
      </w:r>
    </w:p>
    <w:p w14:paraId="59771BCE" w14:textId="77777777" w:rsidR="00C01166" w:rsidRPr="003702AF" w:rsidRDefault="00C01166" w:rsidP="00C01166">
      <w:pPr>
        <w:widowControl w:val="0"/>
      </w:pPr>
      <w:r w:rsidRPr="003702AF">
        <w:t>Këto kritere janë përditësuar në përputhje me zhvillimet teknologjike dhe janë shtuar grupe të reja.</w:t>
      </w:r>
    </w:p>
    <w:p w14:paraId="497283EE" w14:textId="77777777" w:rsidR="00EF56F3" w:rsidRPr="003702AF" w:rsidRDefault="00B10CF4" w:rsidP="00C01166">
      <w:pPr>
        <w:widowControl w:val="0"/>
      </w:pPr>
      <w:r>
        <w:t>Autoritetet kontraktuese</w:t>
      </w:r>
      <w:r w:rsidR="00EF56F3" w:rsidRPr="003702AF">
        <w:t xml:space="preserve"> mund të përfshijnë kriteret e </w:t>
      </w:r>
      <w:r>
        <w:t>PPGJ</w:t>
      </w:r>
      <w:r w:rsidR="00EF56F3" w:rsidRPr="003702AF">
        <w:t xml:space="preserve"> në një procedurë prokurimi publik për mallra, shërbime ose punë në mënyrë që të reduktojnë ndikimin mjedisor të një blerjeje.</w:t>
      </w:r>
    </w:p>
    <w:p w14:paraId="493C0FFC" w14:textId="77777777" w:rsidR="00075107" w:rsidRPr="003702AF" w:rsidRDefault="006458BE" w:rsidP="00075107">
      <w:pPr>
        <w:pStyle w:val="Heading2"/>
        <w:rPr>
          <w:highlight w:val="magenta"/>
        </w:rPr>
      </w:pPr>
      <w:r>
        <w:lastRenderedPageBreak/>
        <w:t xml:space="preserve">Kriteret e </w:t>
      </w:r>
      <w:r w:rsidR="00940100">
        <w:t>PPGJ</w:t>
      </w:r>
      <w:r w:rsidR="00075107" w:rsidRPr="003702AF">
        <w:t xml:space="preserve"> </w:t>
      </w:r>
      <w:r w:rsidR="00874169" w:rsidRPr="003702AF">
        <w:t xml:space="preserve">për kompjuterët, monitorët, </w:t>
      </w:r>
      <w:r w:rsidRPr="003702AF">
        <w:t>tabletat</w:t>
      </w:r>
      <w:r w:rsidR="00874169" w:rsidRPr="003702AF">
        <w:t xml:space="preserve"> dhe telefonat </w:t>
      </w:r>
      <w:r>
        <w:t>e mençur</w:t>
      </w:r>
    </w:p>
    <w:p w14:paraId="203E1E2D" w14:textId="77777777" w:rsidR="00C01166" w:rsidRPr="003702AF" w:rsidRDefault="00874169" w:rsidP="00C01166">
      <w:r w:rsidRPr="003702AF">
        <w:t xml:space="preserve">Shembuj të kritereve të </w:t>
      </w:r>
      <w:r w:rsidR="00B10CF4">
        <w:t>PPGJ</w:t>
      </w:r>
      <w:r w:rsidRPr="003702AF">
        <w:t xml:space="preserve"> për kompjuterët, monitorët, </w:t>
      </w:r>
      <w:r w:rsidR="006458BE" w:rsidRPr="003702AF">
        <w:t>tabletat</w:t>
      </w:r>
      <w:r w:rsidRPr="003702AF">
        <w:t xml:space="preserve"> dhe telefonat </w:t>
      </w:r>
      <w:r w:rsidR="006458BE">
        <w:t>e mençur</w:t>
      </w:r>
      <w:r w:rsidRPr="003702AF">
        <w:t xml:space="preserve"> të paraqitur më poshtë janë nxjerrë nga:</w:t>
      </w:r>
    </w:p>
    <w:p w14:paraId="0A185FD8" w14:textId="77777777" w:rsidR="00C01166" w:rsidRPr="003702AF" w:rsidRDefault="00AD0B7C" w:rsidP="00075107">
      <w:pPr>
        <w:pStyle w:val="Bullet"/>
        <w:spacing w:after="160"/>
      </w:pPr>
      <w:hyperlink r:id="rId16" w:history="1">
        <w:r w:rsidR="00C01166" w:rsidRPr="003702AF">
          <w:rPr>
            <w:rStyle w:val="Hyperlink"/>
          </w:rPr>
          <w:t>https://green-business.ec.europa.eu/green-public-procurement/</w:t>
        </w:r>
        <w:r w:rsidR="00B10CF4">
          <w:rPr>
            <w:rStyle w:val="Hyperlink"/>
          </w:rPr>
          <w:t>PPGJ</w:t>
        </w:r>
        <w:r w:rsidR="00C01166" w:rsidRPr="003702AF">
          <w:rPr>
            <w:rStyle w:val="Hyperlink"/>
          </w:rPr>
          <w:t>-criteria-and-requirements_en</w:t>
        </w:r>
      </w:hyperlink>
    </w:p>
    <w:p w14:paraId="64219D7C" w14:textId="77777777" w:rsidR="00C01166" w:rsidRPr="003702AF" w:rsidRDefault="00C01166" w:rsidP="00C01166">
      <w:pPr>
        <w:pStyle w:val="Bullet"/>
        <w:numPr>
          <w:ilvl w:val="0"/>
          <w:numId w:val="0"/>
        </w:numPr>
      </w:pPr>
      <w:r w:rsidRPr="003702AF">
        <w:t>Grupi i produkteve përfshin:</w:t>
      </w:r>
    </w:p>
    <w:p w14:paraId="78A38AD7" w14:textId="77777777" w:rsidR="00C01166" w:rsidRPr="003702AF" w:rsidRDefault="00C01166" w:rsidP="00C01166">
      <w:pPr>
        <w:pStyle w:val="Bullets1"/>
      </w:pPr>
      <w:r w:rsidRPr="003702AF">
        <w:t xml:space="preserve">Pajisjet e </w:t>
      </w:r>
      <w:r w:rsidR="006458BE">
        <w:t>stacionuara</w:t>
      </w:r>
    </w:p>
    <w:p w14:paraId="3512506B" w14:textId="77777777" w:rsidR="00C01166" w:rsidRPr="003702AF" w:rsidRDefault="00C01166" w:rsidP="005D0458">
      <w:pPr>
        <w:pStyle w:val="Bullets1"/>
        <w:numPr>
          <w:ilvl w:val="2"/>
          <w:numId w:val="1"/>
        </w:numPr>
      </w:pPr>
      <w:r w:rsidRPr="003702AF">
        <w:t xml:space="preserve">Kompjuterë të </w:t>
      </w:r>
      <w:r w:rsidR="006458BE">
        <w:t>stacionuar</w:t>
      </w:r>
    </w:p>
    <w:p w14:paraId="1AA3EB85" w14:textId="77777777" w:rsidR="00C01166" w:rsidRPr="003702AF" w:rsidRDefault="00C01166" w:rsidP="005D0458">
      <w:pPr>
        <w:pStyle w:val="Bullets1"/>
        <w:numPr>
          <w:ilvl w:val="2"/>
          <w:numId w:val="1"/>
        </w:numPr>
      </w:pPr>
      <w:r w:rsidRPr="003702AF">
        <w:t>Kompjuterë desktop</w:t>
      </w:r>
    </w:p>
    <w:p w14:paraId="1D8F0E35" w14:textId="77777777" w:rsidR="00C01166" w:rsidRPr="003702AF" w:rsidRDefault="006458BE" w:rsidP="005D0458">
      <w:pPr>
        <w:pStyle w:val="Bullets1"/>
        <w:numPr>
          <w:ilvl w:val="2"/>
          <w:numId w:val="1"/>
        </w:numPr>
      </w:pPr>
      <w:r w:rsidRPr="003702AF">
        <w:t>Kompjuterë</w:t>
      </w:r>
      <w:r w:rsidR="00C01166" w:rsidRPr="003702AF">
        <w:t xml:space="preserve"> desktop të integruar</w:t>
      </w:r>
    </w:p>
    <w:p w14:paraId="1420C646" w14:textId="77777777" w:rsidR="00C01166" w:rsidRPr="003702AF" w:rsidRDefault="002D746E" w:rsidP="005D0458">
      <w:pPr>
        <w:pStyle w:val="Bullets1"/>
        <w:numPr>
          <w:ilvl w:val="2"/>
          <w:numId w:val="1"/>
        </w:numPr>
      </w:pPr>
      <w:r>
        <w:t>Kompjuterë d</w:t>
      </w:r>
      <w:r w:rsidRPr="003702AF">
        <w:t>esktop</w:t>
      </w:r>
      <w:r>
        <w:t xml:space="preserve"> me serverë</w:t>
      </w:r>
    </w:p>
    <w:p w14:paraId="486315B0" w14:textId="77777777" w:rsidR="00C01166" w:rsidRPr="003702AF" w:rsidRDefault="00C01166" w:rsidP="005D0458">
      <w:pPr>
        <w:pStyle w:val="Bullets1"/>
        <w:numPr>
          <w:ilvl w:val="2"/>
          <w:numId w:val="1"/>
        </w:numPr>
      </w:pPr>
      <w:r w:rsidRPr="003702AF">
        <w:t>Stacione pune në desktop (ose stacione pune)</w:t>
      </w:r>
    </w:p>
    <w:p w14:paraId="1C43EBDD" w14:textId="77777777" w:rsidR="00C01166" w:rsidRPr="003702AF" w:rsidRDefault="00C01166" w:rsidP="005D0458">
      <w:pPr>
        <w:pStyle w:val="Bullets1"/>
        <w:numPr>
          <w:ilvl w:val="1"/>
          <w:numId w:val="1"/>
        </w:numPr>
      </w:pPr>
      <w:r w:rsidRPr="003702AF">
        <w:t>Ekranet e kompjuterit (Monitorët)</w:t>
      </w:r>
    </w:p>
    <w:p w14:paraId="74BC387A" w14:textId="77777777" w:rsidR="00C01166" w:rsidRPr="003702AF" w:rsidRDefault="00C01166" w:rsidP="00C01166">
      <w:pPr>
        <w:pStyle w:val="Bullets1"/>
      </w:pPr>
      <w:r w:rsidRPr="003702AF">
        <w:t>Pajisje portative</w:t>
      </w:r>
    </w:p>
    <w:p w14:paraId="73CF8D30" w14:textId="77777777" w:rsidR="00C01166" w:rsidRPr="003702AF" w:rsidRDefault="00C01166" w:rsidP="005D0458">
      <w:pPr>
        <w:pStyle w:val="Bullets1"/>
        <w:numPr>
          <w:ilvl w:val="1"/>
          <w:numId w:val="1"/>
        </w:numPr>
      </w:pPr>
      <w:r w:rsidRPr="003702AF">
        <w:t>Kompjuterë portativë</w:t>
      </w:r>
    </w:p>
    <w:p w14:paraId="7C6867CA" w14:textId="77777777" w:rsidR="00C01166" w:rsidRPr="003702AF" w:rsidRDefault="00C01166" w:rsidP="005D0458">
      <w:pPr>
        <w:pStyle w:val="Bullets1"/>
        <w:numPr>
          <w:ilvl w:val="2"/>
          <w:numId w:val="1"/>
        </w:numPr>
      </w:pPr>
      <w:r w:rsidRPr="003702AF">
        <w:t xml:space="preserve">Kompjuterë </w:t>
      </w:r>
      <w:r w:rsidR="002D746E">
        <w:t>laptop</w:t>
      </w:r>
    </w:p>
    <w:p w14:paraId="4C62AC3D" w14:textId="77777777" w:rsidR="00C01166" w:rsidRPr="003702AF" w:rsidRDefault="002D746E" w:rsidP="005D0458">
      <w:pPr>
        <w:pStyle w:val="Bullets1"/>
        <w:numPr>
          <w:ilvl w:val="2"/>
          <w:numId w:val="1"/>
        </w:numPr>
      </w:pPr>
      <w:r>
        <w:t>Laptop</w:t>
      </w:r>
      <w:r w:rsidR="00C01166" w:rsidRPr="003702AF">
        <w:t xml:space="preserve"> dy-në-një</w:t>
      </w:r>
    </w:p>
    <w:p w14:paraId="007683BE" w14:textId="77777777" w:rsidR="00C01166" w:rsidRPr="003702AF" w:rsidRDefault="002D746E" w:rsidP="005D0458">
      <w:pPr>
        <w:pStyle w:val="Bullets1"/>
        <w:numPr>
          <w:ilvl w:val="2"/>
          <w:numId w:val="1"/>
        </w:numPr>
      </w:pPr>
      <w:r>
        <w:t>Kompjuterë mobil</w:t>
      </w:r>
    </w:p>
    <w:p w14:paraId="5DA8D2DC" w14:textId="77777777" w:rsidR="00C01166" w:rsidRPr="003702AF" w:rsidRDefault="00C01166" w:rsidP="005D0458">
      <w:pPr>
        <w:pStyle w:val="Bullets1"/>
        <w:numPr>
          <w:ilvl w:val="2"/>
          <w:numId w:val="1"/>
        </w:numPr>
      </w:pPr>
      <w:r w:rsidRPr="003702AF">
        <w:t xml:space="preserve">Stacione pune </w:t>
      </w:r>
      <w:r w:rsidR="002D746E">
        <w:t>mobile</w:t>
      </w:r>
    </w:p>
    <w:p w14:paraId="30AE1CAA" w14:textId="77777777" w:rsidR="00C01166" w:rsidRPr="003702AF" w:rsidRDefault="002D746E" w:rsidP="005D0458">
      <w:pPr>
        <w:pStyle w:val="Bullets1"/>
        <w:numPr>
          <w:ilvl w:val="1"/>
          <w:numId w:val="1"/>
        </w:numPr>
      </w:pPr>
      <w:r>
        <w:t>Tableta</w:t>
      </w:r>
    </w:p>
    <w:p w14:paraId="228E636D" w14:textId="77777777" w:rsidR="00C01166" w:rsidRPr="003702AF" w:rsidRDefault="00C01166" w:rsidP="005D0458">
      <w:pPr>
        <w:pStyle w:val="Bullets1"/>
        <w:numPr>
          <w:ilvl w:val="1"/>
          <w:numId w:val="1"/>
        </w:numPr>
      </w:pPr>
      <w:r w:rsidRPr="003702AF">
        <w:t xml:space="preserve">Telefonat </w:t>
      </w:r>
      <w:r w:rsidR="002D746E">
        <w:t>e mençur</w:t>
      </w:r>
      <w:r w:rsidRPr="003702AF">
        <w:t>.</w:t>
      </w:r>
    </w:p>
    <w:p w14:paraId="4B8912E1" w14:textId="77777777" w:rsidR="00C01166" w:rsidRPr="003702AF" w:rsidRDefault="00C01166" w:rsidP="00C01166">
      <w:pPr>
        <w:rPr>
          <w:b/>
          <w:bCs/>
          <w:sz w:val="28"/>
          <w:szCs w:val="28"/>
        </w:rPr>
      </w:pPr>
    </w:p>
    <w:p w14:paraId="64A62A1D" w14:textId="77777777" w:rsidR="00C01166" w:rsidRPr="003702AF" w:rsidRDefault="00C01166" w:rsidP="00874169">
      <w:pPr>
        <w:pStyle w:val="Heading3"/>
        <w:pageBreakBefore/>
      </w:pPr>
      <w:r w:rsidRPr="003702AF">
        <w:lastRenderedPageBreak/>
        <w:t xml:space="preserve">Furnizimi me </w:t>
      </w:r>
      <w:r w:rsidR="004C7D6B" w:rsidRPr="003702AF">
        <w:t>pajisje TIK</w:t>
      </w:r>
    </w:p>
    <w:p w14:paraId="55AA7559" w14:textId="77777777" w:rsidR="00C01166" w:rsidRPr="003702AF" w:rsidRDefault="00C01166" w:rsidP="00874169">
      <w:pPr>
        <w:pStyle w:val="Heading4"/>
      </w:pPr>
      <w:r w:rsidRPr="003702AF">
        <w:t xml:space="preserve">Specifikimet teknike – Shembuj të kritereve të </w:t>
      </w:r>
      <w:r w:rsidR="00B10CF4">
        <w:t>PPGJ</w:t>
      </w:r>
    </w:p>
    <w:p w14:paraId="0764B6DF" w14:textId="77777777" w:rsidR="00C01166" w:rsidRPr="003702AF" w:rsidRDefault="00C01166" w:rsidP="004C7D6B">
      <w:pPr>
        <w:pStyle w:val="Subtitle"/>
      </w:pPr>
      <w:r w:rsidRPr="003702AF">
        <w:t>Garancia e prodhuesit</w:t>
      </w:r>
    </w:p>
    <w:p w14:paraId="3DC82CD4" w14:textId="77777777" w:rsidR="006766AF" w:rsidRPr="003702AF" w:rsidRDefault="006766AF" w:rsidP="006766AF">
      <w:r w:rsidRPr="003702AF">
        <w:t xml:space="preserve">E aplikueshme për të gjitha kategoritë e pajisjeve përveç pajisjeve të </w:t>
      </w:r>
      <w:r w:rsidR="002D746E">
        <w:t>riinstaluara</w:t>
      </w:r>
      <w:r w:rsidRPr="003702AF">
        <w:t>/rifabrikuara.</w:t>
      </w:r>
    </w:p>
    <w:p w14:paraId="436C941C" w14:textId="77777777" w:rsidR="00C01166" w:rsidRPr="003702AF" w:rsidRDefault="00C01166" w:rsidP="007F3932">
      <w:r w:rsidRPr="003702AF">
        <w:t>Tenderuesi duhet të ofrojë produkte të mbuluara nga tre vjet të garancisë së prodhuesit.</w:t>
      </w:r>
    </w:p>
    <w:p w14:paraId="377AE0DF" w14:textId="77777777" w:rsidR="00C01166" w:rsidRPr="003702AF" w:rsidRDefault="00C01166" w:rsidP="007B17C9">
      <w:pPr>
        <w:rPr>
          <w:rStyle w:val="SubtleEmphasis"/>
        </w:rPr>
      </w:pPr>
      <w:r w:rsidRPr="003702AF">
        <w:rPr>
          <w:rStyle w:val="SubtleEmphasis"/>
        </w:rPr>
        <w:t>Verifikimi:</w:t>
      </w:r>
    </w:p>
    <w:p w14:paraId="001197AB" w14:textId="77777777" w:rsidR="00C01166" w:rsidRPr="003702AF" w:rsidRDefault="001B3738" w:rsidP="007B17C9">
      <w:r>
        <w:t>Tenderuesi</w:t>
      </w:r>
      <w:r w:rsidR="00C01166" w:rsidRPr="003702AF">
        <w:t xml:space="preserve"> duhet të sigurojë dëshmi me shkrim të garancisë së prodhuesit. Pajisjet që mbajnë një etiketë ekologjike të tipit I që përmbush kërkesat e specifikuara do të konsiderohet se janë në përputhje.</w:t>
      </w:r>
    </w:p>
    <w:p w14:paraId="3DF427A1" w14:textId="77777777" w:rsidR="00C01166" w:rsidRPr="003702AF" w:rsidRDefault="00C01166" w:rsidP="004C7D6B">
      <w:pPr>
        <w:pStyle w:val="Subtitle"/>
      </w:pPr>
      <w:r w:rsidRPr="003702AF">
        <w:t xml:space="preserve">Dizajn për </w:t>
      </w:r>
      <w:r w:rsidR="002D746E">
        <w:t xml:space="preserve">mundësi </w:t>
      </w:r>
      <w:r w:rsidRPr="003702AF">
        <w:t>ripar</w:t>
      </w:r>
      <w:r w:rsidR="002D746E">
        <w:t>imi</w:t>
      </w:r>
    </w:p>
    <w:p w14:paraId="5AA12148" w14:textId="77777777" w:rsidR="006766AF" w:rsidRPr="003702AF" w:rsidRDefault="006766AF" w:rsidP="006766AF">
      <w:r w:rsidRPr="003702AF">
        <w:t>E aplikueshme për të gjitha kategoritë e pajisjeve përveç pajisjeve të ri</w:t>
      </w:r>
      <w:r w:rsidR="002D746E">
        <w:t>instaluara</w:t>
      </w:r>
      <w:r w:rsidRPr="003702AF">
        <w:t>/rifabrikuara.</w:t>
      </w:r>
    </w:p>
    <w:p w14:paraId="7286ADCE" w14:textId="77777777" w:rsidR="00C01166" w:rsidRPr="003702AF" w:rsidRDefault="001B3738" w:rsidP="00C01166">
      <w:r>
        <w:t>Tenderuesi</w:t>
      </w:r>
      <w:r w:rsidR="00C01166" w:rsidRPr="003702AF">
        <w:t xml:space="preserve"> duhet të sigurojë që teknikat e bashkimit ose vulosjes për produktet e furnizuara të mos pengojnë riparimin dhe zëvendësimin e pjesëve (përbërësve kritikë) të listuar më poshtë:</w:t>
      </w:r>
    </w:p>
    <w:p w14:paraId="33C6B232" w14:textId="77777777" w:rsidR="00C01166" w:rsidRPr="003702AF" w:rsidRDefault="002D746E" w:rsidP="007F3932">
      <w:pPr>
        <w:pStyle w:val="Bullet"/>
      </w:pPr>
      <w:r>
        <w:t>Laptop</w:t>
      </w:r>
      <w:r w:rsidR="00C01166" w:rsidRPr="003702AF">
        <w:t>: bateria, paneli i ekranit/montimi i ekranit, hapësira ruajtëse (SSD, HDD, RAM), PSU e jashtme/brendshme, tastiera, sistemi/</w:t>
      </w:r>
      <w:r>
        <w:t>shtëpiza</w:t>
      </w:r>
    </w:p>
    <w:p w14:paraId="68AEF377" w14:textId="77777777" w:rsidR="00C01166" w:rsidRPr="003702AF" w:rsidRDefault="00C01166" w:rsidP="007F3932">
      <w:pPr>
        <w:pStyle w:val="Bullet"/>
      </w:pPr>
      <w:r w:rsidRPr="003702AF">
        <w:t>Desktop: CPU, GPU (PCIe), PSU i jashtëm/i brendshëm, hapësirë ruajtëse (SSD, HDD, ODD, RAM), Sistemi/</w:t>
      </w:r>
      <w:r w:rsidR="002D746E">
        <w:t>Shtëpiza</w:t>
      </w:r>
    </w:p>
    <w:p w14:paraId="1ABF0B20" w14:textId="77777777" w:rsidR="00C01166" w:rsidRPr="003702AF" w:rsidRDefault="002D746E" w:rsidP="007F3932">
      <w:pPr>
        <w:pStyle w:val="Bullet"/>
      </w:pPr>
      <w:r w:rsidRPr="003702AF">
        <w:t>Kompjuterë</w:t>
      </w:r>
      <w:r w:rsidR="00C01166" w:rsidRPr="003702AF">
        <w:t xml:space="preserve"> </w:t>
      </w:r>
      <w:r>
        <w:t xml:space="preserve">të </w:t>
      </w:r>
      <w:r w:rsidR="00C01166" w:rsidRPr="003702AF">
        <w:t>gjith</w:t>
      </w:r>
      <w:r>
        <w:t>a në një</w:t>
      </w:r>
      <w:r w:rsidR="00C01166" w:rsidRPr="003702AF">
        <w:t>: PSU i jashtëm/i brendshëm, hapësirë ruajtëse (SSD, HDD, ODD, RAM), Sistemi/</w:t>
      </w:r>
      <w:r>
        <w:t>Shtëpiza</w:t>
      </w:r>
    </w:p>
    <w:p w14:paraId="2E1A9DDF" w14:textId="77777777" w:rsidR="00C01166" w:rsidRPr="003702AF" w:rsidRDefault="00C01166" w:rsidP="007F3932">
      <w:pPr>
        <w:pStyle w:val="Bullet"/>
      </w:pPr>
      <w:r w:rsidRPr="003702AF">
        <w:t>Tabletat: Bateria, Paneli i ekranit/Asambleja e ekranit, PSU e jashtme/brendshme</w:t>
      </w:r>
    </w:p>
    <w:p w14:paraId="4E274648" w14:textId="77777777" w:rsidR="00C01166" w:rsidRPr="003702AF" w:rsidRDefault="00C01166" w:rsidP="007F3932">
      <w:pPr>
        <w:pStyle w:val="Bullet"/>
      </w:pPr>
      <w:r w:rsidRPr="003702AF">
        <w:t xml:space="preserve">Telefonat </w:t>
      </w:r>
      <w:r w:rsidR="002D746E">
        <w:t>e mençur</w:t>
      </w:r>
      <w:r w:rsidRPr="003702AF">
        <w:t>: Bateria, Paneli</w:t>
      </w:r>
      <w:r w:rsidR="002D746E">
        <w:t xml:space="preserve"> i ekranit/Mobilimi i ekranit, k</w:t>
      </w:r>
      <w:r w:rsidRPr="003702AF">
        <w:t>arikuesi</w:t>
      </w:r>
    </w:p>
    <w:p w14:paraId="53C022EE" w14:textId="77777777" w:rsidR="00C01166" w:rsidRPr="003702AF" w:rsidRDefault="00C01166" w:rsidP="007F3932">
      <w:pPr>
        <w:pStyle w:val="Bullet"/>
      </w:pPr>
      <w:r w:rsidRPr="003702AF">
        <w:t>Ekranet e kompjuterit: Kabllot e lidhjes, kabllot e rrymës, PSU e jashtme</w:t>
      </w:r>
    </w:p>
    <w:p w14:paraId="0D08D816" w14:textId="77777777" w:rsidR="00C01166" w:rsidRPr="003702AF" w:rsidRDefault="00C01166" w:rsidP="00491510">
      <w:pPr>
        <w:pStyle w:val="NormalIndent1"/>
      </w:pPr>
      <w:r w:rsidRPr="003702AF">
        <w:t>Shënim 1: CPU-të e salduara në bord përjashtohen nga lista e komponentëve kritikë.</w:t>
      </w:r>
    </w:p>
    <w:p w14:paraId="27566C61" w14:textId="77777777" w:rsidR="00C01166" w:rsidRPr="003702AF" w:rsidRDefault="00C01166" w:rsidP="00491510">
      <w:pPr>
        <w:pStyle w:val="NormalIndent1"/>
      </w:pPr>
      <w:r w:rsidRPr="003702AF">
        <w:t>Shënim 2: Një listë e komponentëve të detyrueshëm të zëvendësueshëm për ekranet e kompjuterit është përcaktuar në Shtojcën II (D. Kërkesat e efikasitetit të materialit. Pika 5. A) e Rregullores (BE) 2019/2021.</w:t>
      </w:r>
    </w:p>
    <w:p w14:paraId="39889B68" w14:textId="77777777" w:rsidR="00C01166" w:rsidRPr="003702AF" w:rsidRDefault="00C01166" w:rsidP="00C01166">
      <w:r w:rsidRPr="003702AF">
        <w:t xml:space="preserve">Udhëzimet se si të zëvendësohen pjesët duhet të sigurohen me një manual shërbimi/riparimi. Manuali duhet të përfshijë masa sigurie për të garantuar riparim të sigurt, një diagram të </w:t>
      </w:r>
      <w:r w:rsidR="002D746E">
        <w:t>komponentëve</w:t>
      </w:r>
      <w:r w:rsidRPr="003702AF">
        <w:t xml:space="preserve"> të pajisjes që ilustron pjesët që mund të </w:t>
      </w:r>
      <w:r w:rsidR="002D746E">
        <w:t>qasen</w:t>
      </w:r>
      <w:r w:rsidRPr="003702AF">
        <w:t xml:space="preserve"> dhe zëvendësohen (të cilat mund të sigurohen gjithashtu në formën e një videoje udhëzuese) dhe mjetet e kërkuara. Manuali i shërbimit/riparimit duhet të jetë i disponueshëm në internet, pa pagesë.</w:t>
      </w:r>
    </w:p>
    <w:p w14:paraId="48BEBA46" w14:textId="77777777" w:rsidR="00C01166" w:rsidRPr="003702AF" w:rsidRDefault="00C01166" w:rsidP="00C01166">
      <w:pPr>
        <w:rPr>
          <w:rStyle w:val="SubtleEmphasis"/>
        </w:rPr>
      </w:pPr>
      <w:r w:rsidRPr="003702AF">
        <w:rPr>
          <w:rStyle w:val="SubtleEmphasis"/>
        </w:rPr>
        <w:lastRenderedPageBreak/>
        <w:t>Verifikimi:</w:t>
      </w:r>
    </w:p>
    <w:p w14:paraId="57FCF2EF" w14:textId="77777777" w:rsidR="00C01166" w:rsidRPr="003702AF" w:rsidRDefault="001B3738" w:rsidP="00491510">
      <w:pPr>
        <w:pStyle w:val="Bullet"/>
        <w:numPr>
          <w:ilvl w:val="0"/>
          <w:numId w:val="0"/>
        </w:numPr>
      </w:pPr>
      <w:r>
        <w:t>Tenderuesi</w:t>
      </w:r>
      <w:r w:rsidR="00C01166" w:rsidRPr="003702AF">
        <w:t xml:space="preserve"> duhet të sigurojë:</w:t>
      </w:r>
    </w:p>
    <w:p w14:paraId="1E009D0F" w14:textId="77777777" w:rsidR="00C01166" w:rsidRPr="003702AF" w:rsidRDefault="00C01166" w:rsidP="00491510">
      <w:pPr>
        <w:pStyle w:val="Bullet"/>
      </w:pPr>
      <w:r w:rsidRPr="003702AF">
        <w:t>Një deklaratë që pjesët e aplikueshme janë të zëvendësueshme nga përdoruesi përfundimtar dhe/ose një teknik.</w:t>
      </w:r>
    </w:p>
    <w:p w14:paraId="189600F3" w14:textId="77777777" w:rsidR="00C01166" w:rsidRPr="003702AF" w:rsidRDefault="00C01166" w:rsidP="00491510">
      <w:pPr>
        <w:pStyle w:val="Bullet"/>
      </w:pPr>
      <w:r w:rsidRPr="003702AF">
        <w:t xml:space="preserve">Manuali i shërbimit/riparimit me udhëzime se si të zëvendësohen pjesët </w:t>
      </w:r>
      <w:r w:rsidR="00491510" w:rsidRPr="003702AF">
        <w:t>përmes një lidhjeje të drejtpërdrejtë me dokumentin në faqen e internetit të prodhuesit.</w:t>
      </w:r>
    </w:p>
    <w:p w14:paraId="4DAF1C1B" w14:textId="77777777" w:rsidR="00C01166" w:rsidRPr="003702AF" w:rsidRDefault="00C01166" w:rsidP="00491510">
      <w:pPr>
        <w:pStyle w:val="Bullet"/>
      </w:pPr>
      <w:r w:rsidRPr="003702AF">
        <w:t>Informacioni i riparimit sipas EN 45559:2019 - Metodat për sigurimin e informacionit në lidhje me aspektet e efikasitetit material të produkteve të lidhura me energjinë.</w:t>
      </w:r>
    </w:p>
    <w:p w14:paraId="51D609A1" w14:textId="77777777" w:rsidR="00C01166" w:rsidRPr="003702AF" w:rsidRDefault="00C01166" w:rsidP="00491510">
      <w:pPr>
        <w:pStyle w:val="NormalIndent1"/>
      </w:pPr>
      <w:r w:rsidRPr="003702AF">
        <w:t>Pajisjet që mbajnë një etiketë ekologjike të tipit I që përmbush kërkesat e specifikuara do të konsiderohet se janë në përputhje.</w:t>
      </w:r>
    </w:p>
    <w:p w14:paraId="1B3C4CD1" w14:textId="77777777" w:rsidR="007B17C9" w:rsidRPr="003702AF" w:rsidRDefault="00C01166" w:rsidP="00C01166">
      <w:r w:rsidRPr="003702AF">
        <w:t>Shënim shpjegues:</w:t>
      </w:r>
    </w:p>
    <w:p w14:paraId="735BB3E8" w14:textId="77777777" w:rsidR="00C01166" w:rsidRPr="003702AF" w:rsidRDefault="00C01166" w:rsidP="00C01166">
      <w:r w:rsidRPr="003702AF">
        <w:t>Klasifikimi i veglave sipas EN45554:2020</w:t>
      </w:r>
    </w:p>
    <w:p w14:paraId="2011BE26" w14:textId="77777777" w:rsidR="00C01166" w:rsidRPr="003702AF" w:rsidRDefault="00C01166" w:rsidP="00C01166">
      <w:r w:rsidRPr="003702AF">
        <w:t xml:space="preserve">Sipas EN 45554:2020, një pjesë mund të zëvendësohet me mjete të </w:t>
      </w:r>
      <w:r w:rsidR="002D746E" w:rsidRPr="003702AF">
        <w:t>Klas</w:t>
      </w:r>
      <w:r w:rsidR="002D746E">
        <w:t>ës</w:t>
      </w:r>
      <w:r w:rsidRPr="003702AF">
        <w:t xml:space="preserve"> A nëse çmontimi është i realizueshëm me:</w:t>
      </w:r>
    </w:p>
    <w:p w14:paraId="63B87CD0" w14:textId="77777777" w:rsidR="00C01166" w:rsidRPr="003702AF" w:rsidRDefault="00C01166" w:rsidP="007B17C9">
      <w:pPr>
        <w:pStyle w:val="Bullet"/>
      </w:pPr>
      <w:r w:rsidRPr="003702AF">
        <w:t>Përdorimi i asnjë mjeti;</w:t>
      </w:r>
    </w:p>
    <w:p w14:paraId="37991C91" w14:textId="77777777" w:rsidR="00C01166" w:rsidRPr="003702AF" w:rsidRDefault="00C01166" w:rsidP="007B17C9">
      <w:pPr>
        <w:pStyle w:val="Bullet"/>
      </w:pPr>
      <w:r w:rsidRPr="003702AF">
        <w:t>Një vegël ose një grup veglash ose një grup veglash të furnizuara me produktin ose me pjesën rezervë;</w:t>
      </w:r>
    </w:p>
    <w:p w14:paraId="07E9BAD3" w14:textId="77777777" w:rsidR="00C01166" w:rsidRPr="003702AF" w:rsidRDefault="00C01166" w:rsidP="007B17C9">
      <w:pPr>
        <w:pStyle w:val="Bullet"/>
      </w:pPr>
      <w:r w:rsidRPr="003702AF">
        <w:t>Mjetet bazë të listuara në tabelën A.3 të standardit: Kaçavidë për koka me vrima, prerje tërthore ose për koka heksalobulare (ISO2380, ISO8764, ISO10664); Çelësi i folesë gjashtëkëndësh (ISO2936); Pikëllim i kombinuar (ISO7738); Pincë kombinimi (ISO5746); Pincë me hundë gjysmë të rrumbullakët (ISO5745); Prerëse diagonale (ISO5749); Pincë me shumë doreza (darë me lidhje me shumë rrëshqitje) (ISO8976); Pincë mbyllëse; Pincë kombinuese për heqjen e telit dhe shtrëngimin e terminalit; Levë e prerjes; Piskatore; Çekiç, kokë çeliku (ISO15601); Thikë për përdorim (prerës) me tehe të këputur; Multimetër; Testues i tensionit; Hekur saldimi; Armë me ngjitës të nxehtë; Xham zmadhues.</w:t>
      </w:r>
    </w:p>
    <w:p w14:paraId="2CB0E375" w14:textId="77777777" w:rsidR="00C01166" w:rsidRPr="003702AF" w:rsidRDefault="00C01166" w:rsidP="00C01166">
      <w:r w:rsidRPr="003702AF">
        <w:t>Një pjesë mund të zëvendësohet nga një mjet i klasës B nëse çmontimi është i realizueshëm me përdorimin e një vegle, ose me një mjet specifik për produktin që renditet si pjesë e një metode për të vlerësuar nëse një produkt mund të riparohet, përmirësohet dhe ripërdoret (në mungesë të një metode që përcakton mjetet specifike të produktit, kjo kategori është e pavlefshme).</w:t>
      </w:r>
    </w:p>
    <w:p w14:paraId="1912B8D4" w14:textId="77777777" w:rsidR="00C01166" w:rsidRPr="003702AF" w:rsidRDefault="00C01166" w:rsidP="00C01166">
      <w:r w:rsidRPr="003702AF">
        <w:t xml:space="preserve">Një pjesë mund të zëvendësohet me një mjet të </w:t>
      </w:r>
      <w:r w:rsidR="002D746E">
        <w:t>klasës</w:t>
      </w:r>
      <w:r w:rsidRPr="003702AF">
        <w:t xml:space="preserve"> C nëse çmontimi nuk është i realizueshëm me përdorimin e mjeteve bazë ose specifike të produktit siç përcaktohen më sipër, por mund të kryhet pa përdorimin e ndonjë vegle të pronarit.</w:t>
      </w:r>
    </w:p>
    <w:p w14:paraId="7E494EC4" w14:textId="77777777" w:rsidR="00C01166" w:rsidRPr="003702AF" w:rsidRDefault="00C01166" w:rsidP="004C7D6B">
      <w:pPr>
        <w:pStyle w:val="Subtitle"/>
      </w:pPr>
      <w:r w:rsidRPr="003702AF">
        <w:t>Rezistenca e baterisë së ri</w:t>
      </w:r>
      <w:r w:rsidR="00315A4F">
        <w:t>-ngarkueshme</w:t>
      </w:r>
    </w:p>
    <w:p w14:paraId="5D5FA66B" w14:textId="77777777" w:rsidR="00C01166" w:rsidRPr="003702AF" w:rsidRDefault="00C01166" w:rsidP="00C01166">
      <w:r w:rsidRPr="003702AF">
        <w:t>E aplikueshme për pajisjet portative (kompjuterë portativë, tableta dhe telefona inteligjentë).</w:t>
      </w:r>
    </w:p>
    <w:p w14:paraId="39804265" w14:textId="77777777" w:rsidR="00C01166" w:rsidRPr="003702AF" w:rsidRDefault="00C01166" w:rsidP="00C01166">
      <w:r w:rsidRPr="003702AF">
        <w:t>Gjendja shëndetësore e testuar e baterisë pas 300 cikleve duhet të jetë ≥80%.</w:t>
      </w:r>
    </w:p>
    <w:p w14:paraId="087FE946" w14:textId="77777777" w:rsidR="00C01166" w:rsidRPr="003702AF" w:rsidRDefault="00C01166" w:rsidP="00C01166">
      <w:r w:rsidRPr="003702AF">
        <w:lastRenderedPageBreak/>
        <w:t>Testet duhet të kryhen sipas standardit IEC EN 61960-3:2017.</w:t>
      </w:r>
    </w:p>
    <w:p w14:paraId="2E24C7F8" w14:textId="77777777" w:rsidR="00C01166" w:rsidRPr="003702AF" w:rsidRDefault="00C01166" w:rsidP="00C01166">
      <w:r w:rsidRPr="003702AF">
        <w:t>Shih shënimin shpjegues më poshtë për përkufizimet.</w:t>
      </w:r>
    </w:p>
    <w:p w14:paraId="54184F02" w14:textId="77777777" w:rsidR="00C01166" w:rsidRPr="003702AF" w:rsidRDefault="00C01166" w:rsidP="00C01166">
      <w:pPr>
        <w:rPr>
          <w:rStyle w:val="SubtleEmphasis"/>
        </w:rPr>
      </w:pPr>
      <w:r w:rsidRPr="003702AF">
        <w:rPr>
          <w:rStyle w:val="SubtleEmphasis"/>
        </w:rPr>
        <w:t>Verifikimi:</w:t>
      </w:r>
    </w:p>
    <w:p w14:paraId="439BD85E" w14:textId="77777777" w:rsidR="00C01166" w:rsidRPr="003702AF" w:rsidRDefault="001B3738" w:rsidP="00C01166">
      <w:r>
        <w:t>Tenderuesi</w:t>
      </w:r>
      <w:r w:rsidR="00C01166" w:rsidRPr="003702AF">
        <w:t>t duhet të ofrojnë rezultatet e testimit të marra nga organet e akredituara të testimit ISO17025 sipas standardit IEC EN 61960-3:2017 ose ekuivalentit.</w:t>
      </w:r>
    </w:p>
    <w:p w14:paraId="4CC8636B" w14:textId="77777777" w:rsidR="00C01166" w:rsidRPr="003702AF" w:rsidRDefault="00C01166" w:rsidP="00C01166">
      <w:r w:rsidRPr="003702AF">
        <w:t>Produktet që mbajnë një etiketë ekologjike përkatëse të tipit I që plotësojnë kërkesat e specifikuara do të konsiderohen se janë në përputhje</w:t>
      </w:r>
    </w:p>
    <w:p w14:paraId="3E9ACE79" w14:textId="77777777" w:rsidR="00C01166" w:rsidRPr="003702AF" w:rsidRDefault="00C01166" w:rsidP="00C01166">
      <w:r w:rsidRPr="003702AF">
        <w:t>Shënim shpjegues: Përkufizimi i gjendjes shëndetësore (SoH)</w:t>
      </w:r>
    </w:p>
    <w:p w14:paraId="53EFC030" w14:textId="77777777" w:rsidR="00C01166" w:rsidRPr="003702AF" w:rsidRDefault="00C01166" w:rsidP="00C01166">
      <w:r w:rsidRPr="003702AF">
        <w:t>Gjendja shëndetësore: Kapaciteti aktual i ngarkimit të plotë (në mAh) i shprehur si përqindje e kapacitetit të projektimit (kapaciteti i vlerësuar).</w:t>
      </w:r>
    </w:p>
    <w:p w14:paraId="2FACCF2D" w14:textId="77777777" w:rsidR="00C01166" w:rsidRPr="003702AF" w:rsidRDefault="00C01166" w:rsidP="004C7D6B">
      <w:pPr>
        <w:pStyle w:val="Subtitle"/>
      </w:pPr>
      <w:r w:rsidRPr="003702AF">
        <w:t>Softuer për mbrojtjen e baterisë</w:t>
      </w:r>
    </w:p>
    <w:p w14:paraId="1394ADBE" w14:textId="77777777" w:rsidR="006766AF" w:rsidRPr="003702AF" w:rsidRDefault="006766AF" w:rsidP="00C01166">
      <w:r w:rsidRPr="003702AF">
        <w:t>E aplikueshme për kompjuterët portativë.</w:t>
      </w:r>
    </w:p>
    <w:p w14:paraId="49DA14EF" w14:textId="77777777" w:rsidR="00C01166" w:rsidRPr="003702AF" w:rsidRDefault="001B3738" w:rsidP="00C01166">
      <w:r>
        <w:t>Tenderuesi</w:t>
      </w:r>
      <w:r w:rsidR="00C01166" w:rsidRPr="003702AF">
        <w:t xml:space="preserve"> duhet të sigurojë pajisjen me softuer të para-instaluar për të mundësuar një kufi në gjendjen e ngarkimit të baterisë (SoC) kur kompjuteri përdoret sistematikisht në funksionimin e rrjetit (p.sh. në një vlerë ≤80% SoC).</w:t>
      </w:r>
    </w:p>
    <w:p w14:paraId="4E61F688" w14:textId="77777777" w:rsidR="00C01166" w:rsidRPr="003702AF" w:rsidRDefault="00C01166" w:rsidP="00C01166">
      <w:pPr>
        <w:rPr>
          <w:rStyle w:val="SubtleEmphasis"/>
        </w:rPr>
      </w:pPr>
      <w:r w:rsidRPr="003702AF">
        <w:rPr>
          <w:rStyle w:val="SubtleEmphasis"/>
        </w:rPr>
        <w:t>Verifikimi:</w:t>
      </w:r>
    </w:p>
    <w:p w14:paraId="1F3B93DA" w14:textId="77777777" w:rsidR="00C01166" w:rsidRPr="003702AF" w:rsidRDefault="001B3738" w:rsidP="00C01166">
      <w:r>
        <w:t>Tenderuesi</w:t>
      </w:r>
      <w:r w:rsidR="00C01166" w:rsidRPr="003702AF">
        <w:t xml:space="preserve"> duhet të sigurojë një deklaratë me shkrim se produktet e furnizuara kanë softuer të para-instaluar me veçoritë e kërkuara. Duhet të jepen gjithashtu specifikimet dhe versioni i softuerit.</w:t>
      </w:r>
    </w:p>
    <w:p w14:paraId="4BA3E0DF" w14:textId="77777777" w:rsidR="00C01166" w:rsidRPr="003702AF" w:rsidRDefault="00C01166" w:rsidP="00C01166">
      <w:r w:rsidRPr="003702AF">
        <w:t>Pajisjet që mbajnë një etiketë ekologjike përkatëse të tipit I që përmbush kërkesat e specifikuara do të konsiderohet se janë në përputhje.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E4CC9" w:rsidRPr="003702AF" w14:paraId="5786E33B" w14:textId="77777777" w:rsidTr="00BE6B26">
        <w:tc>
          <w:tcPr>
            <w:tcW w:w="9360" w:type="dxa"/>
            <w:shd w:val="clear" w:color="auto" w:fill="538135" w:themeFill="accent6" w:themeFillShade="BF"/>
            <w:tcMar>
              <w:top w:w="113" w:type="dxa"/>
              <w:left w:w="142" w:type="dxa"/>
              <w:bottom w:w="113" w:type="dxa"/>
              <w:right w:w="142" w:type="dxa"/>
            </w:tcMar>
          </w:tcPr>
          <w:p w14:paraId="68F69A35" w14:textId="77777777" w:rsidR="009E4CC9" w:rsidRPr="003702AF" w:rsidRDefault="009E4CC9" w:rsidP="00BE6B26">
            <w:pPr>
              <w:widowControl w:val="0"/>
            </w:pPr>
            <w:r w:rsidRPr="003702AF">
              <w:rPr>
                <w:b/>
                <w:bCs/>
                <w:color w:val="FFFFFF" w:themeColor="background1"/>
                <w:sz w:val="24"/>
                <w:szCs w:val="24"/>
              </w:rPr>
              <w:t>Pikat e diskutimit</w:t>
            </w:r>
          </w:p>
        </w:tc>
      </w:tr>
      <w:tr w:rsidR="009E4CC9" w:rsidRPr="003702AF" w14:paraId="502D5D6D" w14:textId="77777777" w:rsidTr="00BE6B26">
        <w:tc>
          <w:tcPr>
            <w:tcW w:w="0" w:type="auto"/>
            <w:shd w:val="clear" w:color="auto" w:fill="EDF6EA"/>
            <w:tcMar>
              <w:top w:w="113" w:type="dxa"/>
              <w:left w:w="142" w:type="dxa"/>
              <w:bottom w:w="113" w:type="dxa"/>
              <w:right w:w="142" w:type="dxa"/>
            </w:tcMar>
          </w:tcPr>
          <w:p w14:paraId="6CC83190" w14:textId="77777777" w:rsidR="009A61A2" w:rsidRPr="003702AF" w:rsidRDefault="009A61A2" w:rsidP="009A61A2">
            <w:pPr>
              <w:spacing w:after="160" w:line="259" w:lineRule="auto"/>
            </w:pPr>
            <w:r w:rsidRPr="003702AF">
              <w:t>Diskutoni me pjesëmarrësit se në çfarë fokusohet prokurimi i gjelbër në TIK:</w:t>
            </w:r>
          </w:p>
          <w:p w14:paraId="57224710" w14:textId="77777777" w:rsidR="009A61A2" w:rsidRPr="003702AF" w:rsidRDefault="009A61A2" w:rsidP="009A61A2">
            <w:pPr>
              <w:pStyle w:val="Bullet"/>
            </w:pPr>
            <w:r w:rsidRPr="003702AF">
              <w:t>Reduktimi i ndikimit mjedisor duke garantuar funksionalitetin dhe jetëgjatësinë e produkteve.</w:t>
            </w:r>
          </w:p>
          <w:p w14:paraId="590D246D" w14:textId="77777777" w:rsidR="009A61A2" w:rsidRPr="003702AF" w:rsidRDefault="009A61A2" w:rsidP="009A61A2">
            <w:pPr>
              <w:spacing w:after="160" w:line="259" w:lineRule="auto"/>
            </w:pPr>
            <w:r w:rsidRPr="003702AF">
              <w:t>Për secilin shembull, diskutoni se si mbështetet qëndrueshmëria përmes aplikimit të saj:</w:t>
            </w:r>
          </w:p>
          <w:p w14:paraId="683B4DD9" w14:textId="77777777" w:rsidR="009A61A2" w:rsidRPr="003702AF" w:rsidRDefault="00A7051E" w:rsidP="009A61A2">
            <w:pPr>
              <w:pStyle w:val="Bullet"/>
            </w:pPr>
            <w:r w:rsidRPr="003702AF">
              <w:t>Garancia e prodhuesit: Një periudhë më e gjatë garancie redukton nevojën për zëvendësime të shpeshta, duke ulur kështu mbetjet elektronike.</w:t>
            </w:r>
          </w:p>
          <w:p w14:paraId="46267F62" w14:textId="77777777" w:rsidR="009A61A2" w:rsidRPr="003702AF" w:rsidRDefault="00A7051E" w:rsidP="009A61A2">
            <w:pPr>
              <w:pStyle w:val="Bullet"/>
            </w:pPr>
            <w:r w:rsidRPr="003702AF">
              <w:t>Dizajni për riparueshmërinë: Theksimi i riparueshmërisë zgjat jetën e pajisjeve, promovon një ekonomi rrethore dhe redukton gjurmën e përgjithshme mjedisore.</w:t>
            </w:r>
          </w:p>
          <w:p w14:paraId="4DF1AE9D" w14:textId="77777777" w:rsidR="009A61A2" w:rsidRPr="003702AF" w:rsidRDefault="00A7051E" w:rsidP="009A61A2">
            <w:pPr>
              <w:pStyle w:val="Bullet"/>
            </w:pPr>
            <w:r w:rsidRPr="003702AF">
              <w:t>Rezistenca e baterisë së ri</w:t>
            </w:r>
            <w:r w:rsidR="00315A4F">
              <w:t>-</w:t>
            </w:r>
            <w:r w:rsidRPr="003702AF">
              <w:t>ngarkueshme: Standardet e larta të qëndrueshmërisë së baterisë reduktojnë frekuencën e zëvendësimeve të baterive dhe minimizojnë mbetjet elektronike.</w:t>
            </w:r>
          </w:p>
          <w:p w14:paraId="4BC498F9" w14:textId="77777777" w:rsidR="009A61A2" w:rsidRPr="003702AF" w:rsidRDefault="00A7051E" w:rsidP="009A61A2">
            <w:pPr>
              <w:pStyle w:val="Bullet"/>
            </w:pPr>
            <w:r w:rsidRPr="003702AF">
              <w:t xml:space="preserve">Softueri për mbrojtjen e baterisë: Softueri që parandalon mbingarkimin zgjat jetën e </w:t>
            </w:r>
            <w:r w:rsidRPr="003702AF">
              <w:lastRenderedPageBreak/>
              <w:t>baterisë dhe redukton ndikimin mjedisor.</w:t>
            </w:r>
          </w:p>
        </w:tc>
      </w:tr>
    </w:tbl>
    <w:p w14:paraId="7765F7AF" w14:textId="77777777" w:rsidR="00C01166" w:rsidRPr="003702AF" w:rsidRDefault="00C01166" w:rsidP="00C01166">
      <w:pPr>
        <w:rPr>
          <w:b/>
          <w:bCs/>
          <w:sz w:val="32"/>
          <w:szCs w:val="32"/>
        </w:rPr>
      </w:pPr>
    </w:p>
    <w:p w14:paraId="1DDBF3A8" w14:textId="77777777" w:rsidR="007F3932" w:rsidRPr="003702AF" w:rsidRDefault="007F3932" w:rsidP="00874169">
      <w:pPr>
        <w:pStyle w:val="Heading4"/>
        <w:pageBreakBefore/>
      </w:pPr>
      <w:r w:rsidRPr="003702AF">
        <w:lastRenderedPageBreak/>
        <w:t xml:space="preserve">Kriteret e dhënies – Shembuj të kritereve të </w:t>
      </w:r>
      <w:r w:rsidR="00B10CF4">
        <w:t>PPGJ</w:t>
      </w:r>
    </w:p>
    <w:p w14:paraId="1A1F29E8" w14:textId="77777777" w:rsidR="00C01166" w:rsidRPr="003702AF" w:rsidRDefault="00C01166" w:rsidP="004C7D6B">
      <w:pPr>
        <w:pStyle w:val="Subtitle"/>
      </w:pPr>
      <w:r w:rsidRPr="003702AF">
        <w:t>Testimi i qëndrueshmërisë së pajisjeve mobile</w:t>
      </w:r>
    </w:p>
    <w:p w14:paraId="389773C3" w14:textId="77777777" w:rsidR="00C01166" w:rsidRPr="003702AF" w:rsidRDefault="00C01166" w:rsidP="00C01166">
      <w:pPr>
        <w:jc w:val="left"/>
      </w:pPr>
      <w:r w:rsidRPr="003702AF">
        <w:t>E aplikueshme për pajisjet portative (kompjuterë portativë, tableta dhe telefona inteligjentë).</w:t>
      </w:r>
    </w:p>
    <w:p w14:paraId="2540C873" w14:textId="77777777" w:rsidR="00C01166" w:rsidRPr="003702AF" w:rsidRDefault="00C01166" w:rsidP="00C01166">
      <w:r w:rsidRPr="003702AF">
        <w:t>Pikët do të jepen për ofertat që përfshijnë produkte që kanë kaluar testet e qëndrueshmërisë të kryera sipas IEC 60068, US MIL-810 ose ekuivalent.</w:t>
      </w:r>
    </w:p>
    <w:p w14:paraId="415697A1" w14:textId="77777777" w:rsidR="00C01166" w:rsidRPr="003702AF" w:rsidRDefault="00C01166" w:rsidP="00C01166">
      <w:r w:rsidRPr="003702AF">
        <w:t xml:space="preserve">Një maksimum prej </w:t>
      </w:r>
      <w:r w:rsidRPr="003702AF">
        <w:rPr>
          <w:i/>
          <w:iCs/>
        </w:rPr>
        <w:t xml:space="preserve">x </w:t>
      </w:r>
      <w:r w:rsidRPr="003702AF">
        <w:t>pikësh [për t'u specifikuar] mund të jepet për:</w:t>
      </w:r>
    </w:p>
    <w:p w14:paraId="3203C9A4" w14:textId="77777777" w:rsidR="00C01166" w:rsidRPr="003702AF" w:rsidRDefault="00C01166" w:rsidP="001648F0">
      <w:pPr>
        <w:pStyle w:val="Bullet"/>
      </w:pPr>
      <w:r w:rsidRPr="003702AF">
        <w:t xml:space="preserve">Rënie aksidentale ( </w:t>
      </w:r>
      <w:r w:rsidR="002F48C3" w:rsidRPr="003702AF">
        <w:rPr>
          <w:shd w:val="clear" w:color="auto" w:fill="F2F2F2" w:themeFill="background1" w:themeFillShade="F2"/>
        </w:rPr>
        <w:t xml:space="preserve">x </w:t>
      </w:r>
      <w:r w:rsidR="002F48C3" w:rsidRPr="003702AF">
        <w:rPr>
          <w:shd w:val="clear" w:color="auto" w:fill="FFFFFF" w:themeFill="background1"/>
        </w:rPr>
        <w:t xml:space="preserve">pikë </w:t>
      </w:r>
      <w:r w:rsidRPr="003702AF">
        <w:t>)</w:t>
      </w:r>
    </w:p>
    <w:p w14:paraId="565B5D5C" w14:textId="77777777" w:rsidR="00C01166" w:rsidRPr="003702AF" w:rsidRDefault="00C01166" w:rsidP="001648F0">
      <w:pPr>
        <w:pStyle w:val="Bullet"/>
      </w:pPr>
      <w:r w:rsidRPr="003702AF">
        <w:t xml:space="preserve">Rezistenca ndaj </w:t>
      </w:r>
      <w:r w:rsidRPr="003702AF">
        <w:rPr>
          <w:shd w:val="clear" w:color="auto" w:fill="FFFFFF" w:themeFill="background1"/>
        </w:rPr>
        <w:t xml:space="preserve">goditjes ( </w:t>
      </w:r>
      <w:r w:rsidR="002F48C3" w:rsidRPr="003702AF">
        <w:rPr>
          <w:shd w:val="clear" w:color="auto" w:fill="F2F2F2" w:themeFill="background1" w:themeFillShade="F2"/>
        </w:rPr>
        <w:t xml:space="preserve">x </w:t>
      </w:r>
      <w:r w:rsidR="002F48C3" w:rsidRPr="003702AF">
        <w:rPr>
          <w:shd w:val="clear" w:color="auto" w:fill="FFFFFF" w:themeFill="background1"/>
        </w:rPr>
        <w:t xml:space="preserve">pikë </w:t>
      </w:r>
      <w:r w:rsidRPr="003702AF">
        <w:t>)</w:t>
      </w:r>
    </w:p>
    <w:p w14:paraId="0A1988E3" w14:textId="77777777" w:rsidR="00C01166" w:rsidRPr="003702AF" w:rsidRDefault="00C01166" w:rsidP="001648F0">
      <w:pPr>
        <w:pStyle w:val="Bullet"/>
      </w:pPr>
      <w:r w:rsidRPr="003702AF">
        <w:t xml:space="preserve">Rezistenca ndaj dridhjeve ( </w:t>
      </w:r>
      <w:r w:rsidR="002F48C3" w:rsidRPr="003702AF">
        <w:rPr>
          <w:shd w:val="clear" w:color="auto" w:fill="F2F2F2" w:themeFill="background1" w:themeFillShade="F2"/>
        </w:rPr>
        <w:t xml:space="preserve">x </w:t>
      </w:r>
      <w:r w:rsidR="002F48C3" w:rsidRPr="003702AF">
        <w:rPr>
          <w:shd w:val="clear" w:color="auto" w:fill="FFFFFF" w:themeFill="background1"/>
        </w:rPr>
        <w:t xml:space="preserve">pikë </w:t>
      </w:r>
      <w:r w:rsidRPr="003702AF">
        <w:t>)</w:t>
      </w:r>
    </w:p>
    <w:p w14:paraId="10A5269D" w14:textId="77777777" w:rsidR="00C01166" w:rsidRPr="003702AF" w:rsidRDefault="00C01166" w:rsidP="001648F0">
      <w:pPr>
        <w:pStyle w:val="Bullet"/>
      </w:pPr>
      <w:r w:rsidRPr="003702AF">
        <w:t xml:space="preserve">Rezistenca e ekranit ( </w:t>
      </w:r>
      <w:r w:rsidR="002F48C3" w:rsidRPr="003702AF">
        <w:rPr>
          <w:shd w:val="clear" w:color="auto" w:fill="F2F2F2" w:themeFill="background1" w:themeFillShade="F2"/>
        </w:rPr>
        <w:t xml:space="preserve">x </w:t>
      </w:r>
      <w:r w:rsidR="002F48C3" w:rsidRPr="003702AF">
        <w:rPr>
          <w:shd w:val="clear" w:color="auto" w:fill="FFFFFF" w:themeFill="background1"/>
        </w:rPr>
        <w:t xml:space="preserve">pikë </w:t>
      </w:r>
      <w:r w:rsidRPr="003702AF">
        <w:t>)</w:t>
      </w:r>
    </w:p>
    <w:p w14:paraId="2AC706B7" w14:textId="77777777" w:rsidR="00C01166" w:rsidRPr="003702AF" w:rsidRDefault="00C01166" w:rsidP="001648F0">
      <w:pPr>
        <w:pStyle w:val="Bullet"/>
      </w:pPr>
      <w:r w:rsidRPr="003702AF">
        <w:t xml:space="preserve">Stresi i temperaturës ( </w:t>
      </w:r>
      <w:r w:rsidR="002F48C3" w:rsidRPr="003702AF">
        <w:rPr>
          <w:shd w:val="clear" w:color="auto" w:fill="F2F2F2" w:themeFill="background1" w:themeFillShade="F2"/>
        </w:rPr>
        <w:t xml:space="preserve">x </w:t>
      </w:r>
      <w:r w:rsidR="002F48C3" w:rsidRPr="003702AF">
        <w:rPr>
          <w:shd w:val="clear" w:color="auto" w:fill="FFFFFF" w:themeFill="background1"/>
        </w:rPr>
        <w:t xml:space="preserve">pikë </w:t>
      </w:r>
      <w:r w:rsidRPr="003702AF">
        <w:t>)</w:t>
      </w:r>
    </w:p>
    <w:p w14:paraId="30595E5E" w14:textId="77777777" w:rsidR="00C01166" w:rsidRPr="003702AF" w:rsidRDefault="00C01166" w:rsidP="00C01166">
      <w:r w:rsidRPr="003702AF">
        <w:t xml:space="preserve">Kërkesat e performancës funksionale dhe specifikimet e </w:t>
      </w:r>
      <w:r w:rsidR="00315A4F">
        <w:t>testit</w:t>
      </w:r>
      <w:r w:rsidRPr="003702AF">
        <w:t xml:space="preserve"> jepen në Aneksin II të dokumentit të kritereve.</w:t>
      </w:r>
    </w:p>
    <w:p w14:paraId="6F86055A" w14:textId="77777777" w:rsidR="00C01166" w:rsidRPr="003702AF" w:rsidRDefault="00C01166" w:rsidP="00C01166">
      <w:r w:rsidRPr="003702AF">
        <w:rPr>
          <w:rStyle w:val="Emphasis"/>
        </w:rPr>
        <w:t xml:space="preserve">Verifikimi </w:t>
      </w:r>
      <w:r w:rsidRPr="003702AF">
        <w:t>:</w:t>
      </w:r>
    </w:p>
    <w:p w14:paraId="0388394C" w14:textId="77777777" w:rsidR="00C01166" w:rsidRPr="003702AF" w:rsidRDefault="001B3738" w:rsidP="00C01166">
      <w:r>
        <w:t>Tenderuesi</w:t>
      </w:r>
      <w:r w:rsidR="00C01166" w:rsidRPr="003702AF">
        <w:t xml:space="preserve"> duhet të sigurojë raporte testimi që tregojnë se modeli është testuar dhe ka përmbushur kërkesat e performancës funksionale për qëndrueshmëri.</w:t>
      </w:r>
    </w:p>
    <w:p w14:paraId="1C0AC5CB" w14:textId="77777777" w:rsidR="00C01166" w:rsidRPr="003702AF" w:rsidRDefault="00C01166" w:rsidP="00C01166">
      <w:r w:rsidRPr="003702AF">
        <w:t>Testimi duhet të kryhet nga një strukturë testimi e akredituar sipas ISO 17025.</w:t>
      </w:r>
    </w:p>
    <w:p w14:paraId="6452C487" w14:textId="77777777" w:rsidR="00C01166" w:rsidRPr="003702AF" w:rsidRDefault="00C01166" w:rsidP="00C01166">
      <w:r w:rsidRPr="003702AF">
        <w:t>Testet ekzistuese për produktin, të kryera me të njëjtin specifikim ose specifikim më të rreptë, do të pranohen pa pasur nevojë për ritestim.</w:t>
      </w:r>
    </w:p>
    <w:p w14:paraId="564A4955" w14:textId="77777777" w:rsidR="00C01166" w:rsidRPr="003702AF" w:rsidRDefault="00C01166" w:rsidP="00C01166">
      <w:r w:rsidRPr="003702AF">
        <w:t>Pajisjet që mbajnë një etiketë ekologjike përkatëse të tipit I që përmbush kërkesat e specifikuara do të konsiderohet se janë në përputhje.</w:t>
      </w:r>
    </w:p>
    <w:p w14:paraId="7AEC16FF" w14:textId="77777777" w:rsidR="00C01166" w:rsidRPr="003702AF" w:rsidRDefault="00C01166" w:rsidP="004C7D6B">
      <w:pPr>
        <w:pStyle w:val="Subtitle"/>
      </w:pPr>
      <w:r w:rsidRPr="003702AF">
        <w:t>Niveli i mbrojtjes nga depërtimi - pajisje gjysmë të forta dhe të forta</w:t>
      </w:r>
    </w:p>
    <w:p w14:paraId="4E3B1BAA" w14:textId="77777777" w:rsidR="00C01166" w:rsidRPr="003702AF" w:rsidRDefault="00C01166" w:rsidP="00C01166">
      <w:r w:rsidRPr="003702AF">
        <w:t>E aplikueshme për pajisjet mobile (kompjuterë portativë, tableta dhe telefona inteligjentë). Të përfshihet aty ku përdoret përdorimi i pritshëm për aktivitete pune në natyrë ose mjedise dhe kushte të tjera të përdorimit të ashpra.</w:t>
      </w:r>
    </w:p>
    <w:p w14:paraId="4CA1194E" w14:textId="77777777" w:rsidR="00C01166" w:rsidRPr="003702AF" w:rsidRDefault="00C01166" w:rsidP="00C01166">
      <w:r w:rsidRPr="003702AF">
        <w:t>Pikët do të jepen nëse produktet tregojnë se kanë arritur nivelin e mëposhtëm të mbrojtjes së IP-së sipas IEC/EN 60529:2013:</w:t>
      </w:r>
    </w:p>
    <w:p w14:paraId="5B54A94A" w14:textId="77777777" w:rsidR="00C01166" w:rsidRPr="003702AF" w:rsidRDefault="00C01166" w:rsidP="002F48C3">
      <w:pPr>
        <w:pStyle w:val="Bullet"/>
      </w:pPr>
      <w:r w:rsidRPr="003702AF">
        <w:t xml:space="preserve">IP65 – 0,25 </w:t>
      </w:r>
      <w:r w:rsidR="002F48C3" w:rsidRPr="003702AF">
        <w:rPr>
          <w:shd w:val="clear" w:color="auto" w:fill="F2F2F2" w:themeFill="background1" w:themeFillShade="F2"/>
        </w:rPr>
        <w:t xml:space="preserve">x </w:t>
      </w:r>
      <w:r w:rsidR="002F48C3" w:rsidRPr="003702AF">
        <w:rPr>
          <w:shd w:val="clear" w:color="auto" w:fill="FFFFFF" w:themeFill="background1"/>
        </w:rPr>
        <w:t>pikë</w:t>
      </w:r>
    </w:p>
    <w:p w14:paraId="59EF618F" w14:textId="77777777" w:rsidR="00C01166" w:rsidRPr="003702AF" w:rsidRDefault="00C01166" w:rsidP="002F48C3">
      <w:pPr>
        <w:pStyle w:val="Bullet"/>
      </w:pPr>
      <w:r w:rsidRPr="003702AF">
        <w:t xml:space="preserve">IP66 – 0,5 </w:t>
      </w:r>
      <w:r w:rsidR="002F48C3" w:rsidRPr="003702AF">
        <w:rPr>
          <w:shd w:val="clear" w:color="auto" w:fill="F2F2F2" w:themeFill="background1" w:themeFillShade="F2"/>
        </w:rPr>
        <w:t xml:space="preserve">x </w:t>
      </w:r>
      <w:r w:rsidR="002F48C3" w:rsidRPr="003702AF">
        <w:rPr>
          <w:shd w:val="clear" w:color="auto" w:fill="FFFFFF" w:themeFill="background1"/>
        </w:rPr>
        <w:t>pikë</w:t>
      </w:r>
    </w:p>
    <w:p w14:paraId="4F7E9772" w14:textId="77777777" w:rsidR="00C01166" w:rsidRPr="003702AF" w:rsidRDefault="00C01166" w:rsidP="002F48C3">
      <w:pPr>
        <w:pStyle w:val="Bullet"/>
      </w:pPr>
      <w:r w:rsidRPr="003702AF">
        <w:t xml:space="preserve">IP67 – 0,75 </w:t>
      </w:r>
      <w:r w:rsidR="002F48C3" w:rsidRPr="003702AF">
        <w:rPr>
          <w:shd w:val="clear" w:color="auto" w:fill="F2F2F2" w:themeFill="background1" w:themeFillShade="F2"/>
        </w:rPr>
        <w:t xml:space="preserve">x </w:t>
      </w:r>
      <w:r w:rsidR="002F48C3" w:rsidRPr="003702AF">
        <w:rPr>
          <w:shd w:val="clear" w:color="auto" w:fill="FFFFFF" w:themeFill="background1"/>
        </w:rPr>
        <w:t>pikë</w:t>
      </w:r>
    </w:p>
    <w:p w14:paraId="4684CADA" w14:textId="77777777" w:rsidR="00C01166" w:rsidRPr="003702AF" w:rsidRDefault="00C01166" w:rsidP="002F48C3">
      <w:pPr>
        <w:pStyle w:val="Bullet"/>
      </w:pPr>
      <w:r w:rsidRPr="003702AF">
        <w:t xml:space="preserve">IP68 - </w:t>
      </w:r>
      <w:r w:rsidR="002F48C3" w:rsidRPr="003702AF">
        <w:rPr>
          <w:shd w:val="clear" w:color="auto" w:fill="F2F2F2" w:themeFill="background1" w:themeFillShade="F2"/>
        </w:rPr>
        <w:t xml:space="preserve">x </w:t>
      </w:r>
      <w:r w:rsidR="002F48C3" w:rsidRPr="003702AF">
        <w:rPr>
          <w:shd w:val="clear" w:color="auto" w:fill="FFFFFF" w:themeFill="background1"/>
        </w:rPr>
        <w:t>pikë</w:t>
      </w:r>
    </w:p>
    <w:p w14:paraId="6F66F03F" w14:textId="77777777" w:rsidR="00AE246A" w:rsidRPr="003702AF" w:rsidRDefault="00AE246A" w:rsidP="00C01166">
      <w:pPr>
        <w:rPr>
          <w:rStyle w:val="Emphasis"/>
          <w:i w:val="0"/>
          <w:iCs w:val="0"/>
        </w:rPr>
      </w:pPr>
    </w:p>
    <w:p w14:paraId="5B1BA608" w14:textId="77777777" w:rsidR="00C01166" w:rsidRPr="003702AF" w:rsidRDefault="00C01166" w:rsidP="00C01166">
      <w:pPr>
        <w:rPr>
          <w:rStyle w:val="Emphasis"/>
        </w:rPr>
      </w:pPr>
      <w:r w:rsidRPr="003702AF">
        <w:rPr>
          <w:rStyle w:val="Emphasis"/>
        </w:rPr>
        <w:t>Verifikimi:</w:t>
      </w:r>
    </w:p>
    <w:p w14:paraId="4EBD7891" w14:textId="77777777" w:rsidR="00C01166" w:rsidRPr="003702AF" w:rsidRDefault="001B3738" w:rsidP="00C01166">
      <w:r>
        <w:t>Tenderuesi</w:t>
      </w:r>
      <w:r w:rsidR="00C01166" w:rsidRPr="003702AF">
        <w:t xml:space="preserve"> duhet të sigurojë raporte testimi që tregojnë se modeli është testuar dhe ka përmbushur kërkesat e performancës funksionale për nivelin e mbrojtjes nga depërtimi.</w:t>
      </w:r>
    </w:p>
    <w:p w14:paraId="55C72F96" w14:textId="77777777" w:rsidR="00C01166" w:rsidRPr="003702AF" w:rsidRDefault="00C01166" w:rsidP="00C01166">
      <w:r w:rsidRPr="003702AF">
        <w:t>Testimi duhet të kryhet nga një strukturë testimi e akredituar sipas ISO 17025.</w:t>
      </w:r>
    </w:p>
    <w:p w14:paraId="55797052" w14:textId="77777777" w:rsidR="00C01166" w:rsidRPr="003702AF" w:rsidRDefault="00C01166" w:rsidP="00C01166">
      <w:r w:rsidRPr="003702AF">
        <w:t>Testet ekzistuese për produktin, të kryera me të njëjtin specifikim ose specifikim më të rreptë, do të pranohen pa pasur nevojë për ritestim.</w:t>
      </w:r>
    </w:p>
    <w:p w14:paraId="2ED6EA08" w14:textId="77777777" w:rsidR="00C01166" w:rsidRPr="003702AF" w:rsidRDefault="00C01166" w:rsidP="00C01166">
      <w:r w:rsidRPr="003702AF">
        <w:t>Pajisjet që mbajnë një etiketë ekologjike përkatëse të tipit I që përmbush kërkesat e specifikuara do të konsiderohet se janë në përputhje.</w:t>
      </w:r>
    </w:p>
    <w:p w14:paraId="05DD127F" w14:textId="77777777" w:rsidR="00C01166" w:rsidRPr="003702AF" w:rsidRDefault="00C01166" w:rsidP="004C7D6B">
      <w:pPr>
        <w:pStyle w:val="Subtitle"/>
      </w:pPr>
      <w:r w:rsidRPr="003702AF">
        <w:t>Përmirësimi i konsumit të energjisë mbi kufirin e specifikuar për monitorët</w:t>
      </w:r>
    </w:p>
    <w:p w14:paraId="0D1B4098" w14:textId="77777777" w:rsidR="00C01166" w:rsidRPr="003702AF" w:rsidRDefault="00C01166" w:rsidP="002F48C3">
      <w:r w:rsidRPr="003702AF">
        <w:t>E aplikueshme për ekranet e kompjuterit.</w:t>
      </w:r>
    </w:p>
    <w:p w14:paraId="6989D25F" w14:textId="77777777" w:rsidR="00C01166" w:rsidRPr="003702AF" w:rsidRDefault="00C01166" w:rsidP="002F48C3">
      <w:r w:rsidRPr="003702AF">
        <w:t>Pikët do të jepen nëse produkti është në një klasë energjie më të lartë se D.</w:t>
      </w:r>
    </w:p>
    <w:p w14:paraId="67586778" w14:textId="77777777" w:rsidR="00C01166" w:rsidRPr="003702AF" w:rsidRDefault="00C01166" w:rsidP="004F6067">
      <w:r w:rsidRPr="003702AF">
        <w:t xml:space="preserve">Mund të jepen maksimumi </w:t>
      </w:r>
      <w:r w:rsidRPr="003702AF">
        <w:rPr>
          <w:shd w:val="clear" w:color="auto" w:fill="F2F2F2" w:themeFill="background1" w:themeFillShade="F2"/>
        </w:rPr>
        <w:t xml:space="preserve">x pikë. </w:t>
      </w:r>
      <w:r w:rsidRPr="003702AF">
        <w:t>Pikët duhet të jepen në proporcion me përmirësimin e klasës së efikasitetit të energjisë si më poshtë:</w:t>
      </w:r>
    </w:p>
    <w:tbl>
      <w:tblPr>
        <w:tblStyle w:val="TableGrid"/>
        <w:tblW w:w="0" w:type="auto"/>
        <w:jc w:val="center"/>
        <w:tblLook w:val="04A0" w:firstRow="1" w:lastRow="0" w:firstColumn="1" w:lastColumn="0" w:noHBand="0" w:noVBand="1"/>
      </w:tblPr>
      <w:tblGrid>
        <w:gridCol w:w="2337"/>
        <w:gridCol w:w="2337"/>
        <w:gridCol w:w="2338"/>
      </w:tblGrid>
      <w:tr w:rsidR="00AE246A" w:rsidRPr="003702AF" w14:paraId="2C2F1A3B" w14:textId="77777777" w:rsidTr="004F6067">
        <w:trPr>
          <w:jc w:val="center"/>
        </w:trPr>
        <w:tc>
          <w:tcPr>
            <w:tcW w:w="2337" w:type="dxa"/>
            <w:tcMar>
              <w:top w:w="57" w:type="dxa"/>
              <w:bottom w:w="57" w:type="dxa"/>
            </w:tcMar>
            <w:vAlign w:val="center"/>
          </w:tcPr>
          <w:p w14:paraId="45864215" w14:textId="77777777" w:rsidR="00AE246A" w:rsidRPr="003702AF" w:rsidRDefault="00AE246A" w:rsidP="00BE6B26">
            <w:pPr>
              <w:jc w:val="center"/>
              <w:rPr>
                <w:rStyle w:val="Emphasis"/>
                <w:i w:val="0"/>
                <w:iCs w:val="0"/>
              </w:rPr>
            </w:pPr>
            <w:r w:rsidRPr="003702AF">
              <w:rPr>
                <w:rStyle w:val="Emphasis"/>
                <w:i w:val="0"/>
                <w:iCs w:val="0"/>
              </w:rPr>
              <w:t>Klasa e efikasitetit të energjisë</w:t>
            </w:r>
          </w:p>
        </w:tc>
        <w:tc>
          <w:tcPr>
            <w:tcW w:w="2337" w:type="dxa"/>
            <w:tcMar>
              <w:top w:w="57" w:type="dxa"/>
              <w:bottom w:w="57" w:type="dxa"/>
            </w:tcMar>
            <w:vAlign w:val="center"/>
          </w:tcPr>
          <w:p w14:paraId="4AA1F127" w14:textId="77777777" w:rsidR="00AE246A" w:rsidRPr="003702AF" w:rsidRDefault="00AE246A" w:rsidP="00315A4F">
            <w:pPr>
              <w:jc w:val="center"/>
              <w:rPr>
                <w:rStyle w:val="Emphasis"/>
                <w:i w:val="0"/>
                <w:iCs w:val="0"/>
              </w:rPr>
            </w:pPr>
            <w:r w:rsidRPr="003702AF">
              <w:rPr>
                <w:rStyle w:val="Emphasis"/>
                <w:i w:val="0"/>
                <w:iCs w:val="0"/>
              </w:rPr>
              <w:t>Indeksi i Efiçencës së Energjisë (</w:t>
            </w:r>
            <w:r w:rsidR="00315A4F">
              <w:rPr>
                <w:rStyle w:val="Emphasis"/>
                <w:i w:val="0"/>
                <w:iCs w:val="0"/>
              </w:rPr>
              <w:t>IEE</w:t>
            </w:r>
            <w:r w:rsidRPr="003702AF">
              <w:rPr>
                <w:rStyle w:val="Emphasis"/>
                <w:i w:val="0"/>
                <w:iCs w:val="0"/>
              </w:rPr>
              <w:t>)</w:t>
            </w:r>
          </w:p>
        </w:tc>
        <w:tc>
          <w:tcPr>
            <w:tcW w:w="2338" w:type="dxa"/>
            <w:tcMar>
              <w:top w:w="57" w:type="dxa"/>
              <w:bottom w:w="57" w:type="dxa"/>
            </w:tcMar>
            <w:vAlign w:val="center"/>
          </w:tcPr>
          <w:p w14:paraId="41AD309F" w14:textId="77777777" w:rsidR="00AE246A" w:rsidRPr="003702AF" w:rsidRDefault="00AE246A" w:rsidP="00BE6B26">
            <w:pPr>
              <w:jc w:val="center"/>
              <w:rPr>
                <w:rStyle w:val="Emphasis"/>
                <w:i w:val="0"/>
                <w:iCs w:val="0"/>
              </w:rPr>
            </w:pPr>
            <w:r w:rsidRPr="003702AF">
              <w:rPr>
                <w:rStyle w:val="Emphasis"/>
                <w:i w:val="0"/>
                <w:iCs w:val="0"/>
              </w:rPr>
              <w:t>Pikat</w:t>
            </w:r>
          </w:p>
        </w:tc>
      </w:tr>
      <w:tr w:rsidR="00AE246A" w:rsidRPr="003702AF" w14:paraId="6DAE93D1" w14:textId="77777777" w:rsidTr="004F6067">
        <w:trPr>
          <w:jc w:val="center"/>
        </w:trPr>
        <w:tc>
          <w:tcPr>
            <w:tcW w:w="2337" w:type="dxa"/>
            <w:tcMar>
              <w:top w:w="57" w:type="dxa"/>
              <w:bottom w:w="57" w:type="dxa"/>
            </w:tcMar>
            <w:vAlign w:val="center"/>
          </w:tcPr>
          <w:p w14:paraId="260E1470" w14:textId="77777777" w:rsidR="00AE246A" w:rsidRPr="003702AF" w:rsidRDefault="004F6067" w:rsidP="00BE6B26">
            <w:pPr>
              <w:jc w:val="center"/>
              <w:rPr>
                <w:rStyle w:val="Emphasis"/>
                <w:i w:val="0"/>
                <w:iCs w:val="0"/>
              </w:rPr>
            </w:pPr>
            <w:r w:rsidRPr="003702AF">
              <w:rPr>
                <w:rStyle w:val="Emphasis"/>
                <w:i w:val="0"/>
                <w:iCs w:val="0"/>
              </w:rPr>
              <w:t>A</w:t>
            </w:r>
          </w:p>
        </w:tc>
        <w:tc>
          <w:tcPr>
            <w:tcW w:w="2337" w:type="dxa"/>
            <w:tcMar>
              <w:top w:w="57" w:type="dxa"/>
              <w:bottom w:w="57" w:type="dxa"/>
            </w:tcMar>
            <w:vAlign w:val="center"/>
          </w:tcPr>
          <w:p w14:paraId="0532DFB6" w14:textId="77777777" w:rsidR="00AE246A" w:rsidRPr="003702AF" w:rsidRDefault="00315A4F" w:rsidP="00BE6B26">
            <w:pPr>
              <w:jc w:val="center"/>
              <w:rPr>
                <w:rStyle w:val="Emphasis"/>
                <w:i w:val="0"/>
                <w:iCs w:val="0"/>
              </w:rPr>
            </w:pPr>
            <w:r>
              <w:t>IEE</w:t>
            </w:r>
            <w:r w:rsidR="004F6067" w:rsidRPr="003702AF">
              <w:t xml:space="preserve"> &lt; 0,30</w:t>
            </w:r>
          </w:p>
        </w:tc>
        <w:tc>
          <w:tcPr>
            <w:tcW w:w="2338" w:type="dxa"/>
            <w:tcMar>
              <w:top w:w="57" w:type="dxa"/>
              <w:bottom w:w="57" w:type="dxa"/>
            </w:tcMar>
            <w:vAlign w:val="center"/>
          </w:tcPr>
          <w:p w14:paraId="0BBD067D" w14:textId="77777777" w:rsidR="00AE246A" w:rsidRPr="003702AF" w:rsidRDefault="004F6067" w:rsidP="00BE6B26">
            <w:pPr>
              <w:jc w:val="center"/>
              <w:rPr>
                <w:rStyle w:val="Emphasis"/>
                <w:i w:val="0"/>
                <w:iCs w:val="0"/>
              </w:rPr>
            </w:pPr>
            <w:r w:rsidRPr="003702AF">
              <w:rPr>
                <w:shd w:val="clear" w:color="auto" w:fill="F2F2F2" w:themeFill="background1" w:themeFillShade="F2"/>
              </w:rPr>
              <w:t xml:space="preserve">x </w:t>
            </w:r>
            <w:r w:rsidRPr="003702AF">
              <w:t>pikë</w:t>
            </w:r>
          </w:p>
        </w:tc>
      </w:tr>
      <w:tr w:rsidR="00AE246A" w:rsidRPr="003702AF" w14:paraId="0F225744" w14:textId="77777777" w:rsidTr="004F6067">
        <w:trPr>
          <w:jc w:val="center"/>
        </w:trPr>
        <w:tc>
          <w:tcPr>
            <w:tcW w:w="2337" w:type="dxa"/>
            <w:tcMar>
              <w:top w:w="57" w:type="dxa"/>
              <w:bottom w:w="57" w:type="dxa"/>
            </w:tcMar>
            <w:vAlign w:val="center"/>
          </w:tcPr>
          <w:p w14:paraId="5D69B1C9" w14:textId="77777777" w:rsidR="00AE246A" w:rsidRPr="003702AF" w:rsidRDefault="004F6067" w:rsidP="00BE6B26">
            <w:pPr>
              <w:jc w:val="center"/>
              <w:rPr>
                <w:rStyle w:val="Emphasis"/>
                <w:i w:val="0"/>
                <w:iCs w:val="0"/>
              </w:rPr>
            </w:pPr>
            <w:r w:rsidRPr="003702AF">
              <w:rPr>
                <w:rStyle w:val="Emphasis"/>
                <w:i w:val="0"/>
                <w:iCs w:val="0"/>
              </w:rPr>
              <w:t>B</w:t>
            </w:r>
          </w:p>
        </w:tc>
        <w:tc>
          <w:tcPr>
            <w:tcW w:w="2337" w:type="dxa"/>
            <w:tcMar>
              <w:top w:w="57" w:type="dxa"/>
              <w:bottom w:w="57" w:type="dxa"/>
            </w:tcMar>
            <w:vAlign w:val="center"/>
          </w:tcPr>
          <w:p w14:paraId="3AD64569" w14:textId="77777777" w:rsidR="00AE246A" w:rsidRPr="003702AF" w:rsidRDefault="004F6067" w:rsidP="00BE6B26">
            <w:pPr>
              <w:jc w:val="center"/>
              <w:rPr>
                <w:rStyle w:val="Emphasis"/>
                <w:i w:val="0"/>
                <w:iCs w:val="0"/>
              </w:rPr>
            </w:pPr>
            <w:r w:rsidRPr="003702AF">
              <w:t xml:space="preserve">0,30 ≤ </w:t>
            </w:r>
            <w:r w:rsidR="00315A4F">
              <w:t>IEE</w:t>
            </w:r>
            <w:r w:rsidRPr="003702AF">
              <w:t xml:space="preserve"> &lt; 0,40</w:t>
            </w:r>
          </w:p>
        </w:tc>
        <w:tc>
          <w:tcPr>
            <w:tcW w:w="2338" w:type="dxa"/>
            <w:tcMar>
              <w:top w:w="57" w:type="dxa"/>
              <w:bottom w:w="57" w:type="dxa"/>
            </w:tcMar>
            <w:vAlign w:val="center"/>
          </w:tcPr>
          <w:p w14:paraId="49319B5F" w14:textId="77777777" w:rsidR="00AE246A" w:rsidRPr="003702AF" w:rsidRDefault="004F6067" w:rsidP="00BE6B26">
            <w:pPr>
              <w:jc w:val="center"/>
              <w:rPr>
                <w:rStyle w:val="Emphasis"/>
                <w:i w:val="0"/>
                <w:iCs w:val="0"/>
              </w:rPr>
            </w:pPr>
            <w:r w:rsidRPr="003702AF">
              <w:t xml:space="preserve">0,66 </w:t>
            </w:r>
            <w:r w:rsidRPr="003702AF">
              <w:rPr>
                <w:shd w:val="clear" w:color="auto" w:fill="F2F2F2" w:themeFill="background1" w:themeFillShade="F2"/>
              </w:rPr>
              <w:t xml:space="preserve">x </w:t>
            </w:r>
            <w:r w:rsidRPr="003702AF">
              <w:t>pikë</w:t>
            </w:r>
          </w:p>
        </w:tc>
      </w:tr>
      <w:tr w:rsidR="00AE246A" w:rsidRPr="003702AF" w14:paraId="3C5219CE" w14:textId="77777777" w:rsidTr="004F6067">
        <w:trPr>
          <w:jc w:val="center"/>
        </w:trPr>
        <w:tc>
          <w:tcPr>
            <w:tcW w:w="2337" w:type="dxa"/>
            <w:tcMar>
              <w:top w:w="57" w:type="dxa"/>
              <w:bottom w:w="57" w:type="dxa"/>
            </w:tcMar>
            <w:vAlign w:val="center"/>
          </w:tcPr>
          <w:p w14:paraId="337A97AE" w14:textId="77777777" w:rsidR="00AE246A" w:rsidRPr="003702AF" w:rsidRDefault="004F6067" w:rsidP="00BE6B26">
            <w:pPr>
              <w:jc w:val="center"/>
              <w:rPr>
                <w:rStyle w:val="Emphasis"/>
                <w:i w:val="0"/>
                <w:iCs w:val="0"/>
              </w:rPr>
            </w:pPr>
            <w:r w:rsidRPr="003702AF">
              <w:rPr>
                <w:rStyle w:val="Emphasis"/>
                <w:i w:val="0"/>
                <w:iCs w:val="0"/>
              </w:rPr>
              <w:t>C</w:t>
            </w:r>
          </w:p>
        </w:tc>
        <w:tc>
          <w:tcPr>
            <w:tcW w:w="2337" w:type="dxa"/>
            <w:tcMar>
              <w:top w:w="57" w:type="dxa"/>
              <w:bottom w:w="57" w:type="dxa"/>
            </w:tcMar>
            <w:vAlign w:val="center"/>
          </w:tcPr>
          <w:p w14:paraId="0119CF19" w14:textId="77777777" w:rsidR="00AE246A" w:rsidRPr="003702AF" w:rsidRDefault="004F6067" w:rsidP="00BE6B26">
            <w:pPr>
              <w:jc w:val="center"/>
              <w:rPr>
                <w:rStyle w:val="Emphasis"/>
                <w:i w:val="0"/>
                <w:iCs w:val="0"/>
              </w:rPr>
            </w:pPr>
            <w:r w:rsidRPr="003702AF">
              <w:t xml:space="preserve">0,40 ≤ </w:t>
            </w:r>
            <w:r w:rsidR="00315A4F">
              <w:t>IEE</w:t>
            </w:r>
            <w:r w:rsidRPr="003702AF">
              <w:t xml:space="preserve"> &lt; 0,50</w:t>
            </w:r>
          </w:p>
        </w:tc>
        <w:tc>
          <w:tcPr>
            <w:tcW w:w="2338" w:type="dxa"/>
            <w:tcMar>
              <w:top w:w="57" w:type="dxa"/>
              <w:bottom w:w="57" w:type="dxa"/>
            </w:tcMar>
            <w:vAlign w:val="center"/>
          </w:tcPr>
          <w:p w14:paraId="562AA03D" w14:textId="77777777" w:rsidR="00AE246A" w:rsidRPr="003702AF" w:rsidRDefault="009B3B75" w:rsidP="00BE6B26">
            <w:pPr>
              <w:jc w:val="center"/>
              <w:rPr>
                <w:rStyle w:val="Emphasis"/>
                <w:i w:val="0"/>
                <w:iCs w:val="0"/>
              </w:rPr>
            </w:pPr>
            <w:r w:rsidRPr="003702AF">
              <w:t xml:space="preserve">0,33 </w:t>
            </w:r>
            <w:r w:rsidR="004F6067" w:rsidRPr="003702AF">
              <w:rPr>
                <w:shd w:val="clear" w:color="auto" w:fill="F2F2F2" w:themeFill="background1" w:themeFillShade="F2"/>
              </w:rPr>
              <w:t xml:space="preserve">x </w:t>
            </w:r>
            <w:r w:rsidR="004F6067" w:rsidRPr="003702AF">
              <w:t>pikë</w:t>
            </w:r>
          </w:p>
        </w:tc>
      </w:tr>
    </w:tbl>
    <w:p w14:paraId="34B4CA61" w14:textId="77777777" w:rsidR="00AE246A" w:rsidRPr="003702AF" w:rsidRDefault="00AE246A" w:rsidP="002F48C3">
      <w:pPr>
        <w:rPr>
          <w:rStyle w:val="Emphasis"/>
        </w:rPr>
      </w:pPr>
    </w:p>
    <w:p w14:paraId="16C4BD36" w14:textId="77777777" w:rsidR="00C01166" w:rsidRPr="003702AF" w:rsidRDefault="00C01166" w:rsidP="002F48C3">
      <w:pPr>
        <w:rPr>
          <w:rStyle w:val="Emphasis"/>
        </w:rPr>
      </w:pPr>
      <w:r w:rsidRPr="003702AF">
        <w:rPr>
          <w:rStyle w:val="Emphasis"/>
        </w:rPr>
        <w:t>Verifikimi:</w:t>
      </w:r>
    </w:p>
    <w:p w14:paraId="149B8F85" w14:textId="77777777" w:rsidR="00C01166" w:rsidRPr="003702AF" w:rsidRDefault="00C01166" w:rsidP="00C01166">
      <w:r w:rsidRPr="003702AF">
        <w:t>Për çdo model të dorëzuar, tenderuesi duhet të sigurojë Etiketën e vlefshme të Energjisë të lëshuar sipas Rregullores së kornizës së Etiketimit të Energjisë të BE-së (2017/1369).</w:t>
      </w:r>
    </w:p>
    <w:p w14:paraId="2EDD9F0F" w14:textId="77777777" w:rsidR="00C01166" w:rsidRPr="003702AF" w:rsidRDefault="00C01166" w:rsidP="00AE246A">
      <w:pPr>
        <w:pStyle w:val="Subtitle"/>
        <w:rPr>
          <w:rStyle w:val="SubtitleChar"/>
          <w:b/>
          <w:i/>
        </w:rPr>
      </w:pPr>
      <w:r w:rsidRPr="003702AF">
        <w:rPr>
          <w:rStyle w:val="SubtitleChar"/>
          <w:b/>
          <w:i/>
        </w:rPr>
        <w:t>Kufizimi i substancave klorinate dhe brominate në pjesët plastike</w:t>
      </w:r>
    </w:p>
    <w:p w14:paraId="072BCFB4" w14:textId="77777777" w:rsidR="00C01166" w:rsidRPr="003702AF" w:rsidRDefault="00C01166" w:rsidP="00337A43">
      <w:r w:rsidRPr="003702AF">
        <w:t xml:space="preserve">Zbatohet për të gjitha kategoritë përkatëse të produkteve përveç pajisjeve të </w:t>
      </w:r>
      <w:r w:rsidR="00315A4F">
        <w:t>riinstaluara</w:t>
      </w:r>
      <w:r w:rsidRPr="003702AF">
        <w:t>/rifabrikuara.</w:t>
      </w:r>
    </w:p>
    <w:p w14:paraId="36CBEA48" w14:textId="77777777" w:rsidR="00C01166" w:rsidRPr="003702AF" w:rsidRDefault="00C01166" w:rsidP="00337A43">
      <w:r w:rsidRPr="003702AF">
        <w:t>Pajisjet e dorëzuara si pjesë e kontratës duhet të përmbajnë substanca të ulëta halogjene në pjesët plastike që peshojnë më shumë se 25 gram (5 gram për telefonat inteligjentë). Çdo pjesë plastike e pajisjes duhet të përmbajë më pak se 1000 ppm (0,1% ndaj peshës) brom dhe më pak se 1000 ppm (0,1% peshë ndaj peshës) klor.</w:t>
      </w:r>
    </w:p>
    <w:p w14:paraId="47E7A758" w14:textId="77777777" w:rsidR="00C01166" w:rsidRPr="003702AF" w:rsidRDefault="00C01166" w:rsidP="00337A43">
      <w:r w:rsidRPr="003702AF">
        <w:t>Përjashtimet e aplikueshme janë: bordet e qarkut të printuar, komponentët elektronikë, kabllot dhe izolimi i kabllove, tifozët.</w:t>
      </w:r>
    </w:p>
    <w:p w14:paraId="1D0BB6FC" w14:textId="77777777" w:rsidR="00C01166" w:rsidRPr="003702AF" w:rsidRDefault="00C01166" w:rsidP="00337A43">
      <w:pPr>
        <w:rPr>
          <w:rStyle w:val="Emphasis"/>
        </w:rPr>
      </w:pPr>
      <w:r w:rsidRPr="003702AF">
        <w:rPr>
          <w:rStyle w:val="Emphasis"/>
        </w:rPr>
        <w:lastRenderedPageBreak/>
        <w:t>Verifikimi:</w:t>
      </w:r>
    </w:p>
    <w:p w14:paraId="6577971E" w14:textId="77777777" w:rsidR="00C01166" w:rsidRPr="003702AF" w:rsidRDefault="001B3738" w:rsidP="00337A43">
      <w:r>
        <w:t>Tenderuesi</w:t>
      </w:r>
      <w:r w:rsidR="00C01166" w:rsidRPr="003702AF">
        <w:t xml:space="preserve"> duhet të sigurojë dokumentacionin që vërteton se kërkesa është përmbushur nga:</w:t>
      </w:r>
    </w:p>
    <w:p w14:paraId="37ED553B" w14:textId="77777777" w:rsidR="00C01166" w:rsidRPr="003702AF" w:rsidRDefault="00C01166" w:rsidP="00337A43">
      <w:pPr>
        <w:pStyle w:val="Bullet"/>
      </w:pPr>
      <w:r w:rsidRPr="003702AF">
        <w:t xml:space="preserve">Të dhënat e </w:t>
      </w:r>
      <w:r w:rsidR="00315A4F">
        <w:t>testit</w:t>
      </w:r>
      <w:r w:rsidRPr="003702AF">
        <w:t xml:space="preserve"> që tregojnë se pjesa përmban më pak se 1000 ppm klor dhe më pak se 1000 ppm brom (metodat e testimit të përdorura mund të jenë IEC </w:t>
      </w:r>
      <w:r w:rsidR="00337A43" w:rsidRPr="003702AF">
        <w:t>62321-3-1 ose IEC 62321-3-2), ose</w:t>
      </w:r>
    </w:p>
    <w:p w14:paraId="26EB9186" w14:textId="77777777" w:rsidR="00C01166" w:rsidRPr="003702AF" w:rsidRDefault="00C01166" w:rsidP="00337A43">
      <w:pPr>
        <w:pStyle w:val="Bullet"/>
      </w:pPr>
      <w:r w:rsidRPr="003702AF">
        <w:t>Dokumentacion i bazuar në IEC 62474 ose të ngjashme (p.sh. dokumente të prodhuara sipas sistemit të kontrollit të substancave, si testimi analitik dhe vlerësimet e konformitetit të furnitorëve).</w:t>
      </w:r>
    </w:p>
    <w:p w14:paraId="363A9A65" w14:textId="77777777" w:rsidR="00C01166" w:rsidRPr="003702AF" w:rsidRDefault="00C01166" w:rsidP="00337A43">
      <w:r w:rsidRPr="003702AF">
        <w:t>Kur përdoren përjashtime, duhet të jepet një deklaratë nga prodhuesi.</w:t>
      </w:r>
    </w:p>
    <w:p w14:paraId="0141F0EF" w14:textId="77777777" w:rsidR="00C01166" w:rsidRPr="003702AF" w:rsidRDefault="00C01166" w:rsidP="00337A43">
      <w:r w:rsidRPr="003702AF">
        <w:t>Produktet që mbajnë një etiketë ekologjike përkatëse të tipit I që plotësojnë kërkesat e specifikuara do të konsiderohen se janë në përputhje.</w:t>
      </w:r>
    </w:p>
    <w:p w14:paraId="59C4A4F0" w14:textId="77777777" w:rsidR="00C01166" w:rsidRPr="003702AF" w:rsidRDefault="00C01166" w:rsidP="004C7D6B">
      <w:pPr>
        <w:pStyle w:val="Subtitle"/>
      </w:pPr>
      <w:r w:rsidRPr="003702AF">
        <w:t>Dizajn për riciklim</w:t>
      </w:r>
    </w:p>
    <w:p w14:paraId="67F87A28" w14:textId="77777777" w:rsidR="00C01166" w:rsidRPr="003702AF" w:rsidRDefault="00C01166" w:rsidP="00337A43">
      <w:r w:rsidRPr="003702AF">
        <w:t xml:space="preserve">E aplikueshme për kompjuterë të </w:t>
      </w:r>
      <w:r w:rsidR="00315A4F">
        <w:t>stacionuar</w:t>
      </w:r>
      <w:r w:rsidRPr="003702AF">
        <w:t xml:space="preserve"> dhe ekrane kompjuterike.</w:t>
      </w:r>
    </w:p>
    <w:p w14:paraId="42733636" w14:textId="77777777" w:rsidR="00C01166" w:rsidRPr="003702AF" w:rsidRDefault="00C01166" w:rsidP="00337A43">
      <w:r w:rsidRPr="003702AF">
        <w:t>Kutitë e jashtme plastike, mbylljet dhe kornizat me peshë më të madhe se 25 gram duhet të shënohen në përputhje me ISO 11469 dhe ISO 1043 Seksionet 1 dhe 4. Pjesët plastike përjashtohen nga shënimi në rrethanat e përshkruara në shënimin shpjegues më poshtë.</w:t>
      </w:r>
    </w:p>
    <w:p w14:paraId="58F37BC0" w14:textId="77777777" w:rsidR="00C01166" w:rsidRPr="003702AF" w:rsidRDefault="00C01166" w:rsidP="00337A43">
      <w:pPr>
        <w:rPr>
          <w:rStyle w:val="Emphasis"/>
        </w:rPr>
      </w:pPr>
      <w:r w:rsidRPr="003702AF">
        <w:rPr>
          <w:rStyle w:val="Emphasis"/>
        </w:rPr>
        <w:t>Verifikimi:</w:t>
      </w:r>
    </w:p>
    <w:p w14:paraId="0FDF4F31" w14:textId="77777777" w:rsidR="00C01166" w:rsidRPr="003702AF" w:rsidRDefault="001B3738" w:rsidP="00337A43">
      <w:r>
        <w:t>Tenderuesi</w:t>
      </w:r>
      <w:r w:rsidR="00C01166" w:rsidRPr="003702AF">
        <w:t xml:space="preserve"> duhet të identifikojë pjesët plastike sipas peshës së tyre, përbërjes së tyre polimer dhe markave të tyre ISO 11469 dhe ISO 1043.</w:t>
      </w:r>
    </w:p>
    <w:p w14:paraId="04EDC77F" w14:textId="77777777" w:rsidR="00C01166" w:rsidRPr="003702AF" w:rsidRDefault="00C01166" w:rsidP="00337A43">
      <w:r w:rsidRPr="003702AF">
        <w:t>Dimensioni dhe pozicioni i shënjimit duhet të ilustrohen vizualisht.</w:t>
      </w:r>
    </w:p>
    <w:p w14:paraId="310B0B8F" w14:textId="77777777" w:rsidR="00C01166" w:rsidRPr="003702AF" w:rsidRDefault="00C01166" w:rsidP="00337A43">
      <w:r w:rsidRPr="003702AF">
        <w:t>Pajisjet që mbajnë një etiketë ekologjike përkatëse të tipit I që përmbush kërkesat e specifikuara do të konsiderohet se janë në përputhje.</w:t>
      </w:r>
    </w:p>
    <w:p w14:paraId="0FC73E2D" w14:textId="77777777" w:rsidR="00C01166" w:rsidRPr="003702AF" w:rsidRDefault="00C01166" w:rsidP="00337A43">
      <w:r w:rsidRPr="003702AF">
        <w:t>Shënim shpjegues: Përjashtimet e shenjave plastike</w:t>
      </w:r>
    </w:p>
    <w:p w14:paraId="69A8F3ED" w14:textId="77777777" w:rsidR="00C01166" w:rsidRPr="003702AF" w:rsidRDefault="00C01166" w:rsidP="00337A43">
      <w:r w:rsidRPr="003702AF">
        <w:t>Komponentët e plastikës përjashtohen nga kërkesat e shënjimit në rrethanat e mëposhtme:</w:t>
      </w:r>
    </w:p>
    <w:p w14:paraId="11A2B20D" w14:textId="77777777" w:rsidR="00C01166" w:rsidRPr="003702AF" w:rsidRDefault="00C01166" w:rsidP="001C7F21">
      <w:pPr>
        <w:pStyle w:val="NormalIndent1"/>
      </w:pPr>
      <w:r w:rsidRPr="003702AF">
        <w:t>(i) nëse shënimi nuk është i mundur për shkak të formës ose madhësisë;</w:t>
      </w:r>
    </w:p>
    <w:p w14:paraId="2995663B" w14:textId="77777777" w:rsidR="00C01166" w:rsidRPr="003702AF" w:rsidRDefault="00C01166" w:rsidP="001C7F21">
      <w:pPr>
        <w:pStyle w:val="NormalIndent1"/>
      </w:pPr>
      <w:r w:rsidRPr="003702AF">
        <w:t>(ii) nëse shënimi do të ndikonte në performancën ose funksionalitetin e komponentit plastik; dhe</w:t>
      </w:r>
    </w:p>
    <w:p w14:paraId="637FA02D" w14:textId="77777777" w:rsidR="00C01166" w:rsidRPr="003702AF" w:rsidRDefault="00C01166" w:rsidP="001C7F21">
      <w:pPr>
        <w:pStyle w:val="NormalIndent1"/>
      </w:pPr>
      <w:r w:rsidRPr="003702AF">
        <w:t>(iii) nëse shënimi teknikisht nuk është i mundur për shkak të metodës së formimit.</w:t>
      </w:r>
    </w:p>
    <w:p w14:paraId="3230C7C6" w14:textId="77777777" w:rsidR="00C01166" w:rsidRPr="003702AF" w:rsidRDefault="00C01166" w:rsidP="00337A43">
      <w:r w:rsidRPr="003702AF">
        <w:t>Për komponentët e mëposhtëm plastikë, nuk kërkohet asnjë shenjë:</w:t>
      </w:r>
    </w:p>
    <w:p w14:paraId="146CC036" w14:textId="77777777" w:rsidR="00C01166" w:rsidRPr="003702AF" w:rsidRDefault="00C01166" w:rsidP="001C7F21">
      <w:pPr>
        <w:pStyle w:val="NormalIndent1"/>
      </w:pPr>
      <w:r w:rsidRPr="003702AF">
        <w:t>(i) paketimin, shiritin, etiketat dhe mbështjellëset e shtrirjes;</w:t>
      </w:r>
    </w:p>
    <w:p w14:paraId="2B16A3D2" w14:textId="77777777" w:rsidR="00C01166" w:rsidRPr="003702AF" w:rsidRDefault="00C01166" w:rsidP="001C7F21">
      <w:pPr>
        <w:pStyle w:val="NormalIndent1"/>
      </w:pPr>
      <w:r w:rsidRPr="003702AF">
        <w:t>(ii) instalimet elektrike, kabllot dhe lidhësit, pjesët e gomës dhe kudo ku nuk ka sipërfaqe të mjaftueshme të përshtatshme që shënimi të jetë i një madhësie të lexueshme;</w:t>
      </w:r>
    </w:p>
    <w:p w14:paraId="1E977EB7" w14:textId="77777777" w:rsidR="009E57C7" w:rsidRDefault="00C01166" w:rsidP="009E57C7">
      <w:pPr>
        <w:pStyle w:val="NormalIndent1"/>
      </w:pPr>
      <w:r w:rsidRPr="003702AF">
        <w:lastRenderedPageBreak/>
        <w:t>(iii) Asambletë e PCB-ve, pllakat PMMA, komponentët optikë, komponentët e shkarkimit elektrostatik, komponentët e interferencës elektromagnetike, altoparlantët;</w:t>
      </w:r>
    </w:p>
    <w:p w14:paraId="34E4FAA3" w14:textId="77777777" w:rsidR="00C01166" w:rsidRPr="003702AF" w:rsidRDefault="00C01166" w:rsidP="009E57C7">
      <w:pPr>
        <w:pStyle w:val="NormalIndent1"/>
        <w:numPr>
          <w:ilvl w:val="0"/>
          <w:numId w:val="7"/>
        </w:numPr>
        <w:ind w:left="1080" w:hanging="360"/>
      </w:pPr>
      <w:r w:rsidRPr="003702AF">
        <w:t>pjesë transparente ku shënjimi do të pengonte funksionimin e pjesës në fjalë.</w:t>
      </w:r>
    </w:p>
    <w:p w14:paraId="4F7015FB" w14:textId="77777777" w:rsidR="00C01166" w:rsidRPr="003702AF" w:rsidRDefault="00C01166" w:rsidP="004C7D6B">
      <w:pPr>
        <w:pStyle w:val="Subtitle"/>
      </w:pPr>
      <w:r w:rsidRPr="003702AF">
        <w:t>Riciklimi i mbështjellësve, mbylljeve dhe kornizave plastike - futje dhe lidhëse të ndashme</w:t>
      </w:r>
    </w:p>
    <w:p w14:paraId="1A082510" w14:textId="77777777" w:rsidR="00C01166" w:rsidRPr="003702AF" w:rsidRDefault="00C01166" w:rsidP="00337A43">
      <w:r w:rsidRPr="003702AF">
        <w:t xml:space="preserve">E aplikueshme për kompjuterë të </w:t>
      </w:r>
      <w:r w:rsidR="00315A4F">
        <w:t>stacionuar</w:t>
      </w:r>
      <w:r w:rsidRPr="003702AF">
        <w:t xml:space="preserve"> dhe ekrane kompjuterike.</w:t>
      </w:r>
    </w:p>
    <w:p w14:paraId="45829959" w14:textId="77777777" w:rsidR="00C01166" w:rsidRPr="003702AF" w:rsidRDefault="00C01166" w:rsidP="00337A43">
      <w:r w:rsidRPr="003702AF">
        <w:t>Pika shtesë do të jepen nëse të gjitha pjesët diskrete plastike &gt; 25 gram nuk përmbajnë një futje metalike ose lidhëse të formuar, të futur me nxehtësi ose me ultratinguj, ose të ngjitur, përveç rasteve kur komponenti metalik është ose i ndashëm duke e shkëputur atë nga pjesa plastike ose është e ndashme duke përdorur mjete të zakonshme. Shtytësit e ventilatorit përjashtohen nga kjo kërkesë.</w:t>
      </w:r>
    </w:p>
    <w:p w14:paraId="3E41D090" w14:textId="77777777" w:rsidR="00C01166" w:rsidRPr="003702AF" w:rsidRDefault="00C01166" w:rsidP="00337A43">
      <w:r w:rsidRPr="003702AF">
        <w:t>Verifikimi:</w:t>
      </w:r>
    </w:p>
    <w:p w14:paraId="7DEAE6FF" w14:textId="77777777" w:rsidR="00C01166" w:rsidRPr="003702AF" w:rsidRDefault="001B3738" w:rsidP="00337A43">
      <w:r>
        <w:t>Tenderuesi</w:t>
      </w:r>
      <w:r w:rsidR="00C01166" w:rsidRPr="003702AF">
        <w:t xml:space="preserve"> duhet të sigurojë ose:</w:t>
      </w:r>
    </w:p>
    <w:p w14:paraId="37ACB7CD" w14:textId="77777777" w:rsidR="00C01166" w:rsidRPr="003702AF" w:rsidRDefault="00C01166" w:rsidP="00BA39E8">
      <w:pPr>
        <w:pStyle w:val="NormalIndent1"/>
      </w:pPr>
      <w:r w:rsidRPr="003702AF">
        <w:t>1) dokumentacioni që tregon se produkti nuk përmban një futje metalike ose lidhëse të derdhur, të futur me nxehtësi ose me ultratinguj, ose të ngjitur;</w:t>
      </w:r>
    </w:p>
    <w:p w14:paraId="7814145A" w14:textId="77777777" w:rsidR="00C01166" w:rsidRPr="003702AF" w:rsidRDefault="00C01166" w:rsidP="00BA39E8">
      <w:pPr>
        <w:pStyle w:val="NormalIndent1"/>
      </w:pPr>
      <w:r w:rsidRPr="003702AF">
        <w:t xml:space="preserve">2) ku futjet metalike ose fiksimet janë të derdhura, të futura me nxehtësi ose me ultratinguj, ose të ngjitura në pjesë plastike, dokumentacioni që tregon se si është i ndashëm duke e shkëputur nga pjesa plastike ose duke përdorur mjete </w:t>
      </w:r>
      <w:r w:rsidR="00315A4F" w:rsidRPr="003702AF">
        <w:t xml:space="preserve">zakonisht </w:t>
      </w:r>
      <w:r w:rsidRPr="003702AF">
        <w:t xml:space="preserve">të </w:t>
      </w:r>
      <w:r w:rsidR="00315A4F" w:rsidRPr="003702AF">
        <w:t>disponuesh</w:t>
      </w:r>
      <w:r w:rsidR="00315A4F">
        <w:t>me</w:t>
      </w:r>
      <w:r w:rsidRPr="003702AF">
        <w:t>.</w:t>
      </w:r>
    </w:p>
    <w:p w14:paraId="355DBB94" w14:textId="77777777" w:rsidR="00C01166" w:rsidRPr="003702AF" w:rsidRDefault="00C01166" w:rsidP="00BA39E8">
      <w:pPr>
        <w:pStyle w:val="NormalIndent1"/>
      </w:pPr>
      <w:r w:rsidRPr="003702AF">
        <w:t>ose</w:t>
      </w:r>
    </w:p>
    <w:p w14:paraId="67F1F268" w14:textId="77777777" w:rsidR="00C01166" w:rsidRPr="003702AF" w:rsidRDefault="00C01166" w:rsidP="00BA39E8">
      <w:pPr>
        <w:pStyle w:val="NormalIndent1"/>
      </w:pPr>
      <w:r w:rsidRPr="003702AF">
        <w:t>3) një bazë për përjashtimin (të) nga kërkesat e sigurisë, ligjore ose teknike për një futje/fiksim metalik, nëse pretendohet.</w:t>
      </w:r>
    </w:p>
    <w:p w14:paraId="47ED7139" w14:textId="77777777" w:rsidR="00C01166" w:rsidRPr="003702AF" w:rsidRDefault="00C01166" w:rsidP="00337A43">
      <w:r w:rsidRPr="003702AF">
        <w:t>Pajisjet që mbajnë një etiketë ekologjike përkatëse të tipit I që plotëson kërkesat e specifikuara do të konsiderohet se është në përputhje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A139E" w:rsidRPr="003702AF" w14:paraId="339F9946" w14:textId="77777777" w:rsidTr="00BE6B26">
        <w:tc>
          <w:tcPr>
            <w:tcW w:w="9360" w:type="dxa"/>
            <w:shd w:val="clear" w:color="auto" w:fill="538135" w:themeFill="accent6" w:themeFillShade="BF"/>
            <w:tcMar>
              <w:top w:w="113" w:type="dxa"/>
              <w:left w:w="142" w:type="dxa"/>
              <w:bottom w:w="113" w:type="dxa"/>
              <w:right w:w="142" w:type="dxa"/>
            </w:tcMar>
          </w:tcPr>
          <w:p w14:paraId="7B1D71B1" w14:textId="77777777" w:rsidR="003A139E" w:rsidRPr="003702AF" w:rsidRDefault="003A139E" w:rsidP="00BE6B26">
            <w:pPr>
              <w:widowControl w:val="0"/>
            </w:pPr>
            <w:r w:rsidRPr="003702AF">
              <w:rPr>
                <w:b/>
                <w:bCs/>
                <w:color w:val="FFFFFF" w:themeColor="background1"/>
                <w:sz w:val="24"/>
                <w:szCs w:val="24"/>
              </w:rPr>
              <w:t>Pikat e diskutimit</w:t>
            </w:r>
          </w:p>
        </w:tc>
      </w:tr>
      <w:tr w:rsidR="003A139E" w:rsidRPr="003702AF" w14:paraId="7A15D551" w14:textId="77777777" w:rsidTr="00BE6B26">
        <w:tc>
          <w:tcPr>
            <w:tcW w:w="0" w:type="auto"/>
            <w:shd w:val="clear" w:color="auto" w:fill="EDF6EA"/>
            <w:tcMar>
              <w:top w:w="113" w:type="dxa"/>
              <w:left w:w="142" w:type="dxa"/>
              <w:bottom w:w="113" w:type="dxa"/>
              <w:right w:w="142" w:type="dxa"/>
            </w:tcMar>
          </w:tcPr>
          <w:p w14:paraId="0CC7E395" w14:textId="77777777" w:rsidR="003A139E" w:rsidRPr="003702AF" w:rsidRDefault="003A139E" w:rsidP="00BE6B26">
            <w:pPr>
              <w:spacing w:after="160" w:line="259" w:lineRule="auto"/>
            </w:pPr>
            <w:r w:rsidRPr="003702AF">
              <w:t>Për secilin shembull, diskutoni se si mbështetet qëndrueshmëria përmes aplikimit të saj:</w:t>
            </w:r>
          </w:p>
          <w:p w14:paraId="6B7273BD" w14:textId="77777777" w:rsidR="008D63EC" w:rsidRPr="003702AF" w:rsidRDefault="00A7051E" w:rsidP="008D63EC">
            <w:pPr>
              <w:pStyle w:val="Bullet"/>
            </w:pPr>
            <w:r w:rsidRPr="003702AF">
              <w:t>Testimi i qëndrueshmërisë së pajisjeve celulare: Inkurajoni prokurimin e pajisjeve mobile të qëndrueshme që mund t'i rezistojnë kushteve të vështira, duke zvogëluar kështu nevojën për zëvendësime të shpeshta dhe duke minimizuar mbetjet elektronike.</w:t>
            </w:r>
          </w:p>
          <w:p w14:paraId="20CF04BC" w14:textId="77777777" w:rsidR="008D63EC" w:rsidRPr="003702AF" w:rsidRDefault="008D63EC" w:rsidP="008D63EC">
            <w:pPr>
              <w:pStyle w:val="Bulletsindent"/>
            </w:pPr>
            <w:r w:rsidRPr="003702AF">
              <w:t>Rezistenca në rënie: Pajisjet që i mbijetojnë rënieve aksidentale kontribuojnë në jetëgjatësi më të madhe dhe në reduktimin e mbetjeve elektronike.</w:t>
            </w:r>
          </w:p>
          <w:p w14:paraId="40F56981" w14:textId="77777777" w:rsidR="008D63EC" w:rsidRPr="003702AF" w:rsidRDefault="008D63EC" w:rsidP="008D63EC">
            <w:pPr>
              <w:pStyle w:val="Bulletsindent"/>
            </w:pPr>
            <w:r w:rsidRPr="003702AF">
              <w:t>Rezistenca ndaj goditjeve dhe dridhjeve: Pajisjet që mund të durojnë stresin mekanik pa dëmtime janë më të besueshme në mjedise të vështira.</w:t>
            </w:r>
          </w:p>
          <w:p w14:paraId="21DD3F19" w14:textId="77777777" w:rsidR="008D63EC" w:rsidRPr="003702AF" w:rsidRDefault="008D63EC" w:rsidP="008D63EC">
            <w:pPr>
              <w:pStyle w:val="Bulletsindent"/>
            </w:pPr>
            <w:r w:rsidRPr="003702AF">
              <w:t>Rezistenca e ekranit: Ekranet e qëndrueshme ulin kostot e riparimit dhe zgjerojnë përdorshmërinë e pajisjeve.</w:t>
            </w:r>
          </w:p>
          <w:p w14:paraId="3FCA75A1" w14:textId="77777777" w:rsidR="008D63EC" w:rsidRPr="003702AF" w:rsidRDefault="008D63EC" w:rsidP="008D63EC">
            <w:pPr>
              <w:pStyle w:val="Bulletsindent"/>
            </w:pPr>
            <w:r w:rsidRPr="003702AF">
              <w:lastRenderedPageBreak/>
              <w:t>Rezistenca ndaj stresit të temperaturës: Siguron që pajisjet të mund të funksionojnë në klima të ndryshme pa degradim të performancës.</w:t>
            </w:r>
          </w:p>
          <w:p w14:paraId="550F6945" w14:textId="77777777" w:rsidR="008D63EC" w:rsidRPr="003702AF" w:rsidRDefault="00A7051E" w:rsidP="00A7051E">
            <w:pPr>
              <w:pStyle w:val="Bullet"/>
            </w:pPr>
            <w:r w:rsidRPr="003702AF">
              <w:t>Niveli i mbrojtjes nga depërtimi për pajisjet gjysmë të forta dhe të ashpra: Mbështet përzgjedhjen e pajisjeve që janë të përshtatshme për mjedise të jashtme ose të ashpra, duke promovuar besueshmërinë në kushte ekstreme. Vlerësimet më të larta IP tregojnë mbrojtje më të mirë kundër pluhurit dhe ujit, thelbësore për përdorim të jashtëm ose industrial.</w:t>
            </w:r>
          </w:p>
          <w:p w14:paraId="4B46565B" w14:textId="77777777" w:rsidR="008D63EC" w:rsidRPr="003702AF" w:rsidRDefault="00A7051E" w:rsidP="008D63EC">
            <w:pPr>
              <w:pStyle w:val="Bullet"/>
            </w:pPr>
            <w:r w:rsidRPr="003702AF">
              <w:t xml:space="preserve">Përmirësimi i konsumit të energjisë mbi kufirin e specifikuar për monitorët </w:t>
            </w:r>
            <w:r w:rsidR="008D63EC" w:rsidRPr="003702AF">
              <w:t xml:space="preserve">: Inkurajimi i prokurimit të monitorëve me efikasitet energjetik, duke reduktuar ndikimin mjedisor dhe kostot operative. Pajisjet me vlera më të ulëta </w:t>
            </w:r>
            <w:r w:rsidR="00315A4F">
              <w:t>IEE</w:t>
            </w:r>
            <w:r w:rsidR="008D63EC" w:rsidRPr="003702AF">
              <w:t xml:space="preserve"> (Klasa A, B, C) konsumojnë më pak energji, duke kontribuar në objektivat e qëndrueshmërisë.</w:t>
            </w:r>
          </w:p>
          <w:p w14:paraId="646BB62D" w14:textId="77777777" w:rsidR="008D63EC" w:rsidRPr="003702AF" w:rsidRDefault="00A7051E" w:rsidP="008D63EC">
            <w:pPr>
              <w:pStyle w:val="Bullet"/>
            </w:pPr>
            <w:r w:rsidRPr="003702AF">
              <w:t>Kufizimi i substancave të kloruruara dhe të brominuara në pjesët plastike: Redukton rreziqet mjedisore dhe shëndetësore që lidhen me substancat e halogjenizuara në plastikë, duke reduktuar çlirimin e substancave toksike gjatë asgjësimit.</w:t>
            </w:r>
          </w:p>
          <w:p w14:paraId="1338C361" w14:textId="77777777" w:rsidR="008D63EC" w:rsidRPr="003702AF" w:rsidRDefault="00A7051E" w:rsidP="008D63EC">
            <w:pPr>
              <w:pStyle w:val="Bullet"/>
            </w:pPr>
            <w:r w:rsidRPr="003702AF">
              <w:t>Dizajni për riciklim: Lehtësimi i riciklimit të pajisjeve të TIK-ut duke siguruar që komponentët plastikë janë lehtësisht të identifikueshëm dhe të ndashëm, duke promovuar një ekonomi rrethore.</w:t>
            </w:r>
          </w:p>
          <w:p w14:paraId="03AC0A5A" w14:textId="77777777" w:rsidR="003A139E" w:rsidRPr="003702AF" w:rsidRDefault="00A7051E" w:rsidP="008D63EC">
            <w:pPr>
              <w:pStyle w:val="Bullet"/>
            </w:pPr>
            <w:r w:rsidRPr="003702AF">
              <w:t>Riciklueshmëria e mbështjellësve dhe përbërësve të plastikës: Rritja e riciklueshmërisë së pajisjeve TIK duke dekurajuar përdorimin e futjeve metalike të pandashme në pjesët plastike, duke thjeshtuar procesin e riciklimit.</w:t>
            </w:r>
          </w:p>
        </w:tc>
      </w:tr>
    </w:tbl>
    <w:p w14:paraId="32A56E3A" w14:textId="77777777" w:rsidR="00C01166" w:rsidRPr="003702AF" w:rsidRDefault="00C01166" w:rsidP="00C01166">
      <w:pPr>
        <w:jc w:val="left"/>
        <w:rPr>
          <w:b/>
          <w:bCs/>
          <w:sz w:val="28"/>
          <w:szCs w:val="28"/>
        </w:rPr>
      </w:pPr>
    </w:p>
    <w:p w14:paraId="0F826CD5" w14:textId="77777777" w:rsidR="004252AA" w:rsidRPr="003702AF" w:rsidRDefault="004252AA" w:rsidP="00874169">
      <w:pPr>
        <w:pStyle w:val="Heading3"/>
        <w:pageBreakBefore/>
      </w:pPr>
      <w:r w:rsidRPr="003702AF">
        <w:lastRenderedPageBreak/>
        <w:t xml:space="preserve">Shërbimet </w:t>
      </w:r>
      <w:r w:rsidR="007733BC">
        <w:t xml:space="preserve">shoqëruese për </w:t>
      </w:r>
      <w:r w:rsidRPr="003702AF">
        <w:t>furnizimin me pajisje TIK</w:t>
      </w:r>
    </w:p>
    <w:p w14:paraId="1995DEFA" w14:textId="77777777" w:rsidR="00B95798" w:rsidRPr="003702AF" w:rsidRDefault="00B95798" w:rsidP="00874169">
      <w:pPr>
        <w:pStyle w:val="Heading4"/>
      </w:pPr>
      <w:r w:rsidRPr="003702AF">
        <w:t xml:space="preserve">Specifikimet teknike – Shembuj të kritereve të </w:t>
      </w:r>
      <w:r w:rsidR="00B10CF4">
        <w:t>PPGJ</w:t>
      </w:r>
    </w:p>
    <w:p w14:paraId="2597EE1F" w14:textId="77777777" w:rsidR="00C01166" w:rsidRPr="003702AF" w:rsidRDefault="00C01166" w:rsidP="00B95798">
      <w:pPr>
        <w:pStyle w:val="Subtitle"/>
      </w:pPr>
      <w:r w:rsidRPr="003702AF">
        <w:t>Sigurimi i një marrëveshje shërbimi të zgjatur</w:t>
      </w:r>
    </w:p>
    <w:p w14:paraId="5096D1CF" w14:textId="77777777" w:rsidR="00C01166" w:rsidRPr="003702AF" w:rsidRDefault="001B3738" w:rsidP="00B95798">
      <w:r>
        <w:t xml:space="preserve">Tenderuesi </w:t>
      </w:r>
      <w:r w:rsidR="00C01166" w:rsidRPr="003702AF">
        <w:t xml:space="preserve"> duhet të ofrojë tre vjet shërbime siç detajohet në dokumentin e Kërkesave të Nivelit të Shërbimit (shih shënimin shpjegues më poshtë).</w:t>
      </w:r>
    </w:p>
    <w:p w14:paraId="44FBD508" w14:textId="77777777" w:rsidR="00C01166" w:rsidRPr="003702AF" w:rsidRDefault="00C01166" w:rsidP="00B95798">
      <w:pPr>
        <w:rPr>
          <w:rStyle w:val="Emphasis"/>
        </w:rPr>
      </w:pPr>
      <w:r w:rsidRPr="003702AF">
        <w:rPr>
          <w:rStyle w:val="Emphasis"/>
        </w:rPr>
        <w:t>Verifikimi:</w:t>
      </w:r>
    </w:p>
    <w:p w14:paraId="0C285DCA" w14:textId="77777777" w:rsidR="00C01166" w:rsidRPr="003702AF" w:rsidRDefault="001B3738" w:rsidP="00B95798">
      <w:r>
        <w:t>Tenderuesi</w:t>
      </w:r>
      <w:r w:rsidR="00C01166" w:rsidRPr="003702AF">
        <w:t xml:space="preserve"> duhet të sigurojë një deklaratë me shkrim se produktet e furnizuara do të garantohen në përputhje me specifikimet e kontratës dhe marrëveshjen e nivelit të shërbimit përkatës.</w:t>
      </w:r>
    </w:p>
    <w:p w14:paraId="03A2C59C" w14:textId="77777777" w:rsidR="00C01166" w:rsidRPr="003702AF" w:rsidRDefault="00B95798" w:rsidP="00B95798">
      <w:r w:rsidRPr="003702AF">
        <w:t>Shënim shpjegues: Shembuj të kërkesave të nivelit të shërbimit</w:t>
      </w:r>
    </w:p>
    <w:p w14:paraId="1683A021" w14:textId="77777777" w:rsidR="00C01166" w:rsidRPr="003702AF" w:rsidRDefault="00C01166" w:rsidP="00B95798">
      <w:r w:rsidRPr="003702AF">
        <w:t>Një dokument i Kërkesave të Nivelit të Shërbimit përshkruan se si shërbimi duhet t'i dorëzohet klientit. Shembuj të kërkesave të mundshme të nivelit të shërbimit që duhet të përfshihen janë renditur më poshtë:</w:t>
      </w:r>
    </w:p>
    <w:p w14:paraId="52A2DD24" w14:textId="77777777" w:rsidR="00C01166" w:rsidRPr="003702AF" w:rsidRDefault="00C01166" w:rsidP="003C5939">
      <w:pPr>
        <w:pStyle w:val="Bullet"/>
      </w:pPr>
      <w:r w:rsidRPr="003702AF">
        <w:t>Qasja në garancinë e prodhuesit: regjistroni garancinë e prodhuesit; të menaxhojë çdo dokumentacion ose provë që kërkohet për të thirrur garancinë e prodhuesit; thirrni garancinë e prodhuesit në emër të një administrate publike (gjatë garancisë së prodhuesit); ndiqni me prodhuesin për të siguruar që kushtet e garancisë së prodhuesit janë përmbushur.</w:t>
      </w:r>
    </w:p>
    <w:p w14:paraId="4D0A8F09" w14:textId="77777777" w:rsidR="00C01166" w:rsidRPr="003702AF" w:rsidRDefault="00C01166" w:rsidP="003C5939">
      <w:pPr>
        <w:pStyle w:val="Bullet"/>
      </w:pPr>
      <w:r w:rsidRPr="003702AF">
        <w:t>Marrja dhe kthimi: merrni produktin(ët) nga një vend i caktuar në ambientet e administratës publike dhe kthejeni atë/ato në një vend të caktuar në ambientet e administratës publike (mund të specifikohen gjithashtu opsione alternative për kthim të përshtatshëm të produkteve).</w:t>
      </w:r>
    </w:p>
    <w:p w14:paraId="291E27C2" w14:textId="77777777" w:rsidR="00C01166" w:rsidRPr="003702AF" w:rsidRDefault="00C01166" w:rsidP="003C5939">
      <w:pPr>
        <w:pStyle w:val="Bullet"/>
      </w:pPr>
      <w:r w:rsidRPr="003702AF">
        <w:t xml:space="preserve">Menaxhimi i dështimeve: siguroni një pikë të vetme kontakti efikase për çështjet teknike dhe përshkallëzimin e problemeve, një person përgjegjës për ndjekjen e ecurisë së çështjes, raportet mbi progresin, </w:t>
      </w:r>
      <w:r w:rsidR="001B3738">
        <w:t>qasje</w:t>
      </w:r>
      <w:r w:rsidRPr="003702AF">
        <w:t xml:space="preserve"> transparent</w:t>
      </w:r>
      <w:r w:rsidR="001B3738">
        <w:t>e</w:t>
      </w:r>
      <w:r w:rsidRPr="003702AF">
        <w:t xml:space="preserve"> në bazën e të dhënave të garancisë (kushdo që menaxhon këto të dhëna garancie) për të verifikuar garancinë statusi dhe statusi i incidentit për incidentet e hapura.</w:t>
      </w:r>
    </w:p>
    <w:p w14:paraId="04E80F01" w14:textId="77777777" w:rsidR="00C01166" w:rsidRPr="003702AF" w:rsidRDefault="00C01166" w:rsidP="003C5939">
      <w:pPr>
        <w:pStyle w:val="Bullet"/>
      </w:pPr>
      <w:r w:rsidRPr="003702AF">
        <w:t xml:space="preserve">Qasja në mjetet diagnostikuese dhe riparimi: </w:t>
      </w:r>
      <w:r w:rsidR="001B3738">
        <w:t>qasje</w:t>
      </w:r>
      <w:r w:rsidRPr="003702AF">
        <w:t xml:space="preserve"> në të gjitha mjetet teknike të nevojshme për të kryer diagnostikimin dhe korrigjimet e harduerit; </w:t>
      </w:r>
      <w:r w:rsidR="001B3738">
        <w:t>qasje</w:t>
      </w:r>
      <w:r w:rsidRPr="003702AF">
        <w:t xml:space="preserve"> në çdo trajnim teknik që kërkohet për t'u bërë një teknik i certifikuar riparimi; mundësia, nëpërmjet joekskluzivitetit, për t'u bërë par</w:t>
      </w:r>
      <w:r w:rsidR="007733BC">
        <w:t>tner teknik i certifikuar (kryen</w:t>
      </w:r>
      <w:r w:rsidRPr="003702AF">
        <w:t xml:space="preserve"> riparime</w:t>
      </w:r>
      <w:r w:rsidR="007733BC">
        <w:t xml:space="preserve">t e </w:t>
      </w:r>
      <w:r w:rsidR="007733BC" w:rsidRPr="003702AF">
        <w:t>garanci</w:t>
      </w:r>
      <w:r w:rsidR="007733BC">
        <w:t>s</w:t>
      </w:r>
      <w:r w:rsidR="007733BC" w:rsidRPr="003702AF">
        <w:t>ë</w:t>
      </w:r>
      <w:r w:rsidRPr="003702AF">
        <w:t>).</w:t>
      </w:r>
    </w:p>
    <w:p w14:paraId="55943E74" w14:textId="77777777" w:rsidR="00C01166" w:rsidRPr="003702AF" w:rsidRDefault="00C01166" w:rsidP="003C5939">
      <w:pPr>
        <w:pStyle w:val="Bullet"/>
      </w:pPr>
      <w:r w:rsidRPr="003702AF">
        <w:t>Mbulimi i baterisë: shërbimi mbulon në mënyrë të qartë defektet e baterisë për produktet e aplikueshme me bateri të rikarikueshme, të tilla si dështimi në karikim ose një lidhje e gabuar e baterisë. Një rënie progresive e kapacitetit të baterisë për shkak të përdorimit nuk duhet të konsiderohet një defekt, përveç nëse mbulohet nga politika e zëvendësimit të baterisë në pikën më poshtë.</w:t>
      </w:r>
    </w:p>
    <w:p w14:paraId="332CBE9C" w14:textId="77777777" w:rsidR="00C01166" w:rsidRPr="003702AF" w:rsidRDefault="00C01166" w:rsidP="003C5939">
      <w:pPr>
        <w:pStyle w:val="Bullet"/>
      </w:pPr>
      <w:r w:rsidRPr="003702AF">
        <w:lastRenderedPageBreak/>
        <w:t>Politika e zëvendësimit të baterive: shërbimi mbulon zëvendësimin e baterive që nuk plotësojnë kushtet minimale të performancës në lidhje me qëndrueshmërinë për sa i përket numrit të cikleve.</w:t>
      </w:r>
    </w:p>
    <w:p w14:paraId="569931AD" w14:textId="77777777" w:rsidR="00C01166" w:rsidRPr="003702AF" w:rsidRDefault="00C01166" w:rsidP="003C5939">
      <w:pPr>
        <w:pStyle w:val="Bullet"/>
      </w:pPr>
      <w:r w:rsidRPr="003702AF">
        <w:t>Sigurimi i statistikave të dështimit: ofrimi i statistikave të nivelit të lartë, të grumbulluar, anonime dhe të pa gjurmueshme për llojet e incidenteve (natyrën dhe sasinë), problemet dhe diagnostifikimin në lidhje me produktet brenda objektit të kontratës.</w:t>
      </w:r>
    </w:p>
    <w:p w14:paraId="4E138CDE" w14:textId="77777777" w:rsidR="00C01166" w:rsidRPr="003702AF" w:rsidRDefault="00C01166" w:rsidP="003C5939">
      <w:pPr>
        <w:pStyle w:val="Bullet"/>
      </w:pPr>
      <w:r w:rsidRPr="003702AF">
        <w:t xml:space="preserve">Menaxhimi i incidentit/menaxhimi i problemeve/mirëmbajtje parandaluese: ky shërbim përfshin të gjitha operacionet e nevojshme për të mirëmbajtur </w:t>
      </w:r>
      <w:r w:rsidR="00B95798" w:rsidRPr="003702AF">
        <w:t>produktet e TIK-ut në gjendje të përsosur pune, ose për të rivendosur një produkt me defekt ose një nga komponentët e tij në gjendje të përsosur pune, duke përfshirë menaxhimin e incidenteve, menaxhimin e problemeve dhe parandalimin. mirëmbajtjen. Mirëmbajtja parandaluese gjatë periudhës së garancisë përfshin sigurimin e OS (sistemit operativ) dhe përditësimet e sigurisë për kohëzgjatjen e kontratës.</w:t>
      </w:r>
    </w:p>
    <w:p w14:paraId="5F100460" w14:textId="77777777" w:rsidR="00C01166" w:rsidRPr="003702AF" w:rsidRDefault="00C01166" w:rsidP="003C5939">
      <w:pPr>
        <w:pStyle w:val="Bullet"/>
      </w:pPr>
      <w:r w:rsidRPr="003702AF">
        <w:t>Përmirësimi: një skanim për mundësitë dhe nevojat e përmirësimit mund të bëhet pas një periudhe të caktuar (p.sh. 3 vjet) dhe të mbulojë aspekte të performancës si CPU/Memoria/Disku.</w:t>
      </w:r>
    </w:p>
    <w:p w14:paraId="0484CE04" w14:textId="77777777" w:rsidR="00C01166" w:rsidRPr="003702AF" w:rsidRDefault="00C01166" w:rsidP="003C5939">
      <w:pPr>
        <w:pStyle w:val="Bullet"/>
      </w:pPr>
      <w:r w:rsidRPr="003702AF">
        <w:t xml:space="preserve">Aktivitetet e riparimit/zëvendësimit: riparoni ose zëvendësoni çdo produkt që dëmtohet ose bëhet me defekt gjatë përdorimit normal gjatë periudhës së garancisë së zgjatur me produkte që kanë karakteristika të njëjta ose më të mira të performancës. Defektet që lidhen me </w:t>
      </w:r>
      <w:r w:rsidRPr="001B3738">
        <w:rPr>
          <w:i/>
        </w:rPr>
        <w:t>firmware</w:t>
      </w:r>
      <w:r w:rsidR="001B3738">
        <w:rPr>
          <w:i/>
        </w:rPr>
        <w:t>(softuer)</w:t>
      </w:r>
      <w:r w:rsidRPr="003702AF">
        <w:t xml:space="preserve"> janë gjithashtu të mbuluara. Nëse një pjesë e një artikulli zëvendësohet, pjesa zëvendësuese duhet të mbulohet nga i njëjti nivel dhe kohëzgjatje garancie e zgjatur si pjesa që është zëvendësuar. Garancia e zgjatur vlen si për harduerin ashtu edhe për softuerin, përveç rasteve kur është rënë dakord shprehimisht ndryshe.</w:t>
      </w:r>
    </w:p>
    <w:p w14:paraId="75E01B95" w14:textId="77777777" w:rsidR="00C01166" w:rsidRPr="003702AF" w:rsidRDefault="00C01166" w:rsidP="003C5939">
      <w:pPr>
        <w:pStyle w:val="Bullet"/>
      </w:pPr>
      <w:r w:rsidRPr="003702AF">
        <w:t>Angazhimi për riparim/përmirësim si zgjidhja e parë: në rast dështimesh dhe, kurdoherë që është teknikisht e mundshme, ofruesi i shërbimit angazhohet të ofrojë opsionin e riparimit/përmirësimit të pajisjes në vend që ta zëvendësojë atë.</w:t>
      </w:r>
    </w:p>
    <w:p w14:paraId="318F22CF" w14:textId="77777777" w:rsidR="00C01166" w:rsidRPr="003702AF" w:rsidRDefault="00C01166" w:rsidP="00B95798">
      <w:pPr>
        <w:pStyle w:val="Subtitle"/>
      </w:pPr>
      <w:r w:rsidRPr="003702AF">
        <w:t>Disponueshmëria e vazhdueshme e pjesëve rezervë</w:t>
      </w:r>
    </w:p>
    <w:p w14:paraId="5B372674" w14:textId="77777777" w:rsidR="00C01166" w:rsidRPr="003702AF" w:rsidRDefault="001B3738" w:rsidP="00B95798">
      <w:r>
        <w:t>Tenderuesi</w:t>
      </w:r>
      <w:r w:rsidR="00C01166" w:rsidRPr="003702AF">
        <w:t xml:space="preserve"> duhet të garantojë disponueshmërinë e pjesëve rezervë (komponentët kritikë), duke përfshirë si minimum [ </w:t>
      </w:r>
      <w:r w:rsidR="005D45E5" w:rsidRPr="003702AF">
        <w:rPr>
          <w:i/>
          <w:iCs/>
          <w:shd w:val="clear" w:color="auto" w:fill="F2F2F2" w:themeFill="background1" w:themeFillShade="F2"/>
        </w:rPr>
        <w:t xml:space="preserve">që do të përcaktohet </w:t>
      </w:r>
      <w:r w:rsidR="005D45E5" w:rsidRPr="003702AF">
        <w:t>], për tre vjet nga data e blerjes.</w:t>
      </w:r>
    </w:p>
    <w:p w14:paraId="6DCB2660" w14:textId="77777777" w:rsidR="00C01166" w:rsidRPr="003702AF" w:rsidRDefault="00C01166" w:rsidP="00B95798">
      <w:r w:rsidRPr="003702AF">
        <w:t>Pjesët e këmbimit/përbërësit zëvendësues mund të jenë:</w:t>
      </w:r>
    </w:p>
    <w:p w14:paraId="258C22D8" w14:textId="77777777" w:rsidR="00C01166" w:rsidRPr="003702AF" w:rsidRDefault="00C01166" w:rsidP="005D45E5">
      <w:pPr>
        <w:pStyle w:val="Bullet"/>
      </w:pPr>
      <w:r w:rsidRPr="003702AF">
        <w:t>pjesë e përdorur e ngjashme me të;</w:t>
      </w:r>
    </w:p>
    <w:p w14:paraId="0C217696" w14:textId="77777777" w:rsidR="00C01166" w:rsidRPr="003702AF" w:rsidRDefault="00C01166" w:rsidP="005D45E5">
      <w:pPr>
        <w:pStyle w:val="Bullet"/>
      </w:pPr>
      <w:r w:rsidRPr="003702AF">
        <w:t>një pjesë e re ose e përdorur OEM (prodhuesi origjinal i pajisjeve) që përputhet me specifikimet;</w:t>
      </w:r>
    </w:p>
    <w:p w14:paraId="7ACF2238" w14:textId="77777777" w:rsidR="00C01166" w:rsidRPr="003702AF" w:rsidRDefault="00C01166" w:rsidP="005D45E5">
      <w:pPr>
        <w:pStyle w:val="Bullet"/>
      </w:pPr>
      <w:r w:rsidRPr="003702AF">
        <w:t>një pjesë pas shitjes (të palëve të treta) që përputhet me specifikimet.</w:t>
      </w:r>
    </w:p>
    <w:p w14:paraId="7760B45A" w14:textId="77777777" w:rsidR="00C01166" w:rsidRPr="003702AF" w:rsidRDefault="00C01166" w:rsidP="00B95798">
      <w:r w:rsidRPr="003702AF">
        <w:t>Të gjithë komponentët kritikë të identifikuar duhet të jenë:</w:t>
      </w:r>
    </w:p>
    <w:p w14:paraId="53F3E432" w14:textId="77777777" w:rsidR="00C01166" w:rsidRPr="003702AF" w:rsidRDefault="00C01166" w:rsidP="005D45E5">
      <w:pPr>
        <w:pStyle w:val="Bullet"/>
      </w:pPr>
      <w:r w:rsidRPr="003702AF">
        <w:t>në dispozicion për t'u blerë;</w:t>
      </w:r>
    </w:p>
    <w:p w14:paraId="4E86239C" w14:textId="77777777" w:rsidR="00C01166" w:rsidRPr="003702AF" w:rsidRDefault="00C01166" w:rsidP="005D45E5">
      <w:pPr>
        <w:pStyle w:val="Bullet"/>
      </w:pPr>
      <w:r w:rsidRPr="003702AF">
        <w:t>ose zëvendësohet nga një rrjet shërbimi për riparim dhe mirëmbajtje.</w:t>
      </w:r>
    </w:p>
    <w:p w14:paraId="0B110286" w14:textId="77777777" w:rsidR="00C01166" w:rsidRPr="003702AF" w:rsidRDefault="001B3738" w:rsidP="00B95798">
      <w:r>
        <w:lastRenderedPageBreak/>
        <w:t>Tenderuesi</w:t>
      </w:r>
      <w:r w:rsidR="00C01166" w:rsidRPr="003702AF">
        <w:t xml:space="preserve"> duhet të sigurojë një listë çmimesh për pjesët rezervë origjinale ose të pajtueshme dhe kostot treguese të punës për zëvendësimin e tyre, duke përfshirë bateritë e rikarikueshme (nëse ka).</w:t>
      </w:r>
    </w:p>
    <w:p w14:paraId="269A82E8" w14:textId="77777777" w:rsidR="00C01166" w:rsidRPr="003702AF" w:rsidRDefault="00C01166" w:rsidP="00B95798">
      <w:pPr>
        <w:rPr>
          <w:rStyle w:val="Emphasis"/>
        </w:rPr>
      </w:pPr>
      <w:r w:rsidRPr="003702AF">
        <w:rPr>
          <w:rStyle w:val="Emphasis"/>
        </w:rPr>
        <w:t>Verifikimi:</w:t>
      </w:r>
    </w:p>
    <w:p w14:paraId="109CC8EA" w14:textId="77777777" w:rsidR="00C01166" w:rsidRPr="003702AF" w:rsidRDefault="001B3738" w:rsidP="00B95798">
      <w:r>
        <w:t>Tenderuesi</w:t>
      </w:r>
      <w:r w:rsidR="00C01166" w:rsidRPr="003702AF">
        <w:t xml:space="preserve"> duhet të japë një deklaratë se pjesët rezervë të kërkuara do të jenë të disponueshme për tre vjet për çdo model të ofruar.</w:t>
      </w:r>
    </w:p>
    <w:p w14:paraId="69D4692F" w14:textId="77777777" w:rsidR="00C01166" w:rsidRPr="003702AF" w:rsidRDefault="00C01166" w:rsidP="00B95798">
      <w:r w:rsidRPr="003702AF">
        <w:t>Pajisjet që mbajnë një etiketë ekologjike përkatëse të tipit I që përmbush kërkesat e specifikuara do të konsiderohet se janë në përputhje.</w:t>
      </w:r>
    </w:p>
    <w:p w14:paraId="14D42869" w14:textId="77777777" w:rsidR="00C01166" w:rsidRPr="003702AF" w:rsidRDefault="00C01166" w:rsidP="00C01166">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6108A" w:rsidRPr="003702AF" w14:paraId="052A711B" w14:textId="77777777" w:rsidTr="00BE6B26">
        <w:tc>
          <w:tcPr>
            <w:tcW w:w="9360" w:type="dxa"/>
            <w:shd w:val="clear" w:color="auto" w:fill="538135" w:themeFill="accent6" w:themeFillShade="BF"/>
            <w:tcMar>
              <w:top w:w="113" w:type="dxa"/>
              <w:left w:w="142" w:type="dxa"/>
              <w:bottom w:w="113" w:type="dxa"/>
              <w:right w:w="142" w:type="dxa"/>
            </w:tcMar>
          </w:tcPr>
          <w:p w14:paraId="2A1F130C" w14:textId="77777777" w:rsidR="00F6108A" w:rsidRPr="003702AF" w:rsidRDefault="00F6108A" w:rsidP="00BE6B26">
            <w:pPr>
              <w:widowControl w:val="0"/>
            </w:pPr>
            <w:r w:rsidRPr="003702AF">
              <w:rPr>
                <w:b/>
                <w:bCs/>
                <w:color w:val="FFFFFF" w:themeColor="background1"/>
                <w:sz w:val="24"/>
                <w:szCs w:val="24"/>
              </w:rPr>
              <w:t>Pikat e diskutimit</w:t>
            </w:r>
          </w:p>
        </w:tc>
      </w:tr>
      <w:tr w:rsidR="00F6108A" w:rsidRPr="003702AF" w14:paraId="610E4000" w14:textId="77777777" w:rsidTr="00BE6B26">
        <w:tc>
          <w:tcPr>
            <w:tcW w:w="0" w:type="auto"/>
            <w:shd w:val="clear" w:color="auto" w:fill="EDF6EA"/>
            <w:tcMar>
              <w:top w:w="113" w:type="dxa"/>
              <w:left w:w="142" w:type="dxa"/>
              <w:bottom w:w="113" w:type="dxa"/>
              <w:right w:w="142" w:type="dxa"/>
            </w:tcMar>
          </w:tcPr>
          <w:p w14:paraId="4841BFB2" w14:textId="77777777" w:rsidR="00DC66E4" w:rsidRPr="003702AF" w:rsidRDefault="00DC66E4" w:rsidP="00DC66E4">
            <w:pPr>
              <w:spacing w:after="160" w:line="259" w:lineRule="auto"/>
            </w:pPr>
            <w:r w:rsidRPr="003702AF">
              <w:t>Inkurajoni pjesëmarrësit të ndajnë përvojat e tyre me praktikën e përdorimit të kontratave të përziera (blerje dhe shërbime të lidhura) për TIK dhe artikuj të tjerë të prokurimit.</w:t>
            </w:r>
          </w:p>
          <w:p w14:paraId="1D63F3EC" w14:textId="77777777" w:rsidR="00DC66E4" w:rsidRPr="003702AF" w:rsidRDefault="00DC66E4" w:rsidP="00DC66E4">
            <w:pPr>
              <w:pStyle w:val="Bullet"/>
            </w:pPr>
            <w:r w:rsidRPr="003702AF">
              <w:t>Nëse shërbimi nuk është i kontraktuar, si e sigurojnë ata, për shembull, disponueshmërinë e pjesëve rezervë?</w:t>
            </w:r>
          </w:p>
          <w:p w14:paraId="1E915990" w14:textId="77777777" w:rsidR="00DC66E4" w:rsidRPr="003702AF" w:rsidRDefault="00DC66E4" w:rsidP="00DC66E4">
            <w:pPr>
              <w:spacing w:after="160" w:line="259" w:lineRule="auto"/>
            </w:pPr>
            <w:r w:rsidRPr="003702AF">
              <w:t>Diskutoni përfitimet e kontratave të tilla nga pikëpamja e qëndrueshmërisë.</w:t>
            </w:r>
          </w:p>
          <w:p w14:paraId="49259EF6" w14:textId="77777777" w:rsidR="00F6108A" w:rsidRPr="003702AF" w:rsidRDefault="00F6108A" w:rsidP="00C8691E">
            <w:pPr>
              <w:spacing w:after="160" w:line="259" w:lineRule="auto"/>
            </w:pPr>
            <w:r w:rsidRPr="003702AF">
              <w:t>Për secilin shembull, diskutoni se si mbështetet qëndrueshmëria përmes aplikimit të saj:</w:t>
            </w:r>
          </w:p>
          <w:p w14:paraId="43501F4E" w14:textId="77777777" w:rsidR="009B3FB3" w:rsidRPr="003702AF" w:rsidRDefault="009B3FB3" w:rsidP="009B3FB3">
            <w:pPr>
              <w:pStyle w:val="Bullet"/>
            </w:pPr>
            <w:r w:rsidRPr="003702AF">
              <w:t>Shërbimi i zgjatur: Siguron mbështetje dhe mirëmbajtje afatgjatë të pajisjeve TIK, duke zgjatur jetëgjatësinë e tyre, duke reduktuar kohën e ndërprerjes dhe duke mbështetur qëllimet e qëndrueshmërisë përmes përdorimit të vazhdueshëm dhe riparimit në vend të zëvendësimit.</w:t>
            </w:r>
          </w:p>
          <w:p w14:paraId="73CDC84D" w14:textId="77777777" w:rsidR="009B3FB3" w:rsidRPr="003702AF" w:rsidRDefault="009B3FB3" w:rsidP="009B3FB3">
            <w:pPr>
              <w:pStyle w:val="Bullet"/>
            </w:pPr>
            <w:r w:rsidRPr="003702AF">
              <w:t>Kërkesat e nivelit të shërbimit (</w:t>
            </w:r>
            <w:r w:rsidR="005A71C9">
              <w:t>KNSH</w:t>
            </w:r>
            <w:r w:rsidRPr="003702AF">
              <w:t>): Përcakton cilësinë dhe shtrirjen e shërbimeve që do të ofrohen gjatë periudhës së zgjatur të shërbimit, duke siguruar që pajisja të mbetet funksionale dhe e besueshme gjatë gjithë përdorimit.</w:t>
            </w:r>
          </w:p>
          <w:p w14:paraId="388A316D" w14:textId="77777777" w:rsidR="009B3FB3" w:rsidRPr="003702AF" w:rsidRDefault="009B3FB3" w:rsidP="009B3FB3">
            <w:pPr>
              <w:pStyle w:val="Bullet"/>
            </w:pPr>
            <w:r w:rsidRPr="003702AF">
              <w:t>Shërbimi i marrjes dhe kthimit: Lehtëson kthimin dhe rikthimin e përshtatshëm të pajisjeve për riparim, duke minimizuar ndërprerjen e funksionimit.</w:t>
            </w:r>
          </w:p>
          <w:p w14:paraId="2896FB64" w14:textId="77777777" w:rsidR="009B3FB3" w:rsidRPr="003702AF" w:rsidRDefault="009B3FB3" w:rsidP="009B3FB3">
            <w:pPr>
              <w:pStyle w:val="Bullet"/>
            </w:pPr>
            <w:r w:rsidRPr="003702AF">
              <w:t>Menaxhimi i dështimeve: Ofron një pikë kontakti të centralizuar për çështjet teknike, duke siguruar zgjidhje efikase të problemeve dhe komunikim transparent.</w:t>
            </w:r>
          </w:p>
          <w:p w14:paraId="4336E82C" w14:textId="77777777" w:rsidR="009B3FB3" w:rsidRPr="003702AF" w:rsidRDefault="009B3FB3" w:rsidP="009B3FB3">
            <w:pPr>
              <w:pStyle w:val="Bullet"/>
            </w:pPr>
            <w:r w:rsidRPr="003702AF">
              <w:t>Mbulimi dhe zëvendësimi i baterisë: Siguron që bateritë e rikarikueshme në pajisje të mbulohen për defekte dhe probleme të performancës, duke reduktuar nevojën për zëvendësim të parakohshëm të pajisjes.</w:t>
            </w:r>
          </w:p>
          <w:p w14:paraId="2C75A658" w14:textId="77777777" w:rsidR="009B3FB3" w:rsidRPr="003702AF" w:rsidRDefault="009B3FB3" w:rsidP="009B3FB3">
            <w:pPr>
              <w:pStyle w:val="Bullet"/>
            </w:pPr>
            <w:r w:rsidRPr="003702AF">
              <w:t>Menaxhimi i incidenteve dhe mirëmbajtja parandaluese: Siguron mirëmbajtjen e vazhdueshme të pajisjeve TIK për të parandaluar dështimet dhe për të adresuar shpejt çështjet kur ato lindin, duke zgjatur jetën e pajisjes.</w:t>
            </w:r>
          </w:p>
          <w:p w14:paraId="387B46F3" w14:textId="77777777" w:rsidR="009B3FB3" w:rsidRPr="003702AF" w:rsidRDefault="009B3FB3" w:rsidP="009B3FB3">
            <w:pPr>
              <w:pStyle w:val="Bullet"/>
            </w:pPr>
            <w:r w:rsidRPr="003702AF">
              <w:t>Angazhimi për riparim/zëvendësim dhe përmirësim: Siguron që riparimet dhe përmirësimet të kenë prioritet</w:t>
            </w:r>
          </w:p>
          <w:p w14:paraId="6C5DAEF8" w14:textId="77777777" w:rsidR="00F6108A" w:rsidRPr="003702AF" w:rsidRDefault="009B3FB3" w:rsidP="009B3FB3">
            <w:pPr>
              <w:pStyle w:val="Bullet"/>
            </w:pPr>
            <w:r w:rsidRPr="003702AF">
              <w:t xml:space="preserve">Disponueshmëria e vazhdueshme e pjesëve rezervë: Siguron që komponentët kritikë dhe pjesët rezervë të mbeten të disponueshme për të paktën tre vjet, duke mbështetur </w:t>
            </w:r>
            <w:r w:rsidRPr="003702AF">
              <w:lastRenderedPageBreak/>
              <w:t>aktivitetet e vazhdueshme të mirëmbajtjes dhe riparimit.</w:t>
            </w:r>
          </w:p>
        </w:tc>
      </w:tr>
    </w:tbl>
    <w:p w14:paraId="7ABA2D04" w14:textId="77777777" w:rsidR="00C01166" w:rsidRPr="003702AF" w:rsidRDefault="00C01166" w:rsidP="00C01166">
      <w:pPr>
        <w:jc w:val="left"/>
        <w:rPr>
          <w:b/>
          <w:bCs/>
        </w:rPr>
      </w:pPr>
    </w:p>
    <w:p w14:paraId="535DFDAB" w14:textId="77777777" w:rsidR="00C01166" w:rsidRPr="003702AF" w:rsidRDefault="00C01166" w:rsidP="00C01166">
      <w:pPr>
        <w:pStyle w:val="Heading2"/>
      </w:pPr>
      <w:r w:rsidRPr="003702AF">
        <w:lastRenderedPageBreak/>
        <w:t xml:space="preserve">Shembull praktik i </w:t>
      </w:r>
      <w:r w:rsidR="0075586E" w:rsidRPr="003702AF">
        <w:t>zbatimit të kritereve</w:t>
      </w:r>
    </w:p>
    <w:p w14:paraId="57D975D7" w14:textId="77777777" w:rsidR="0014205D" w:rsidRPr="003702AF" w:rsidRDefault="005A71C9" w:rsidP="0014205D">
      <w:bookmarkStart w:id="0" w:name="_Toc89441624"/>
      <w:r>
        <w:t>Këtu është</w:t>
      </w:r>
      <w:r w:rsidR="0014205D" w:rsidRPr="003702AF">
        <w:t xml:space="preserve"> një shembull i zbatimit të disa kritereve të listuara në dokumentet e prokurimit. Shembulli është marrë nga dokumentacioni i Zyrës Qendrore Shtetërore për Prokurimin Publik të </w:t>
      </w:r>
      <w:r>
        <w:t>Centralizuar</w:t>
      </w:r>
      <w:r w:rsidR="0014205D" w:rsidRPr="003702AF">
        <w:t xml:space="preserve"> (</w:t>
      </w:r>
      <w:r>
        <w:t>PPC</w:t>
      </w:r>
      <w:r w:rsidR="0014205D" w:rsidRPr="003702AF">
        <w:t>) të Republikës së Kroacisë për procedurën e prokurimit "Kompjuterë dhe pajisje kompjuterike".</w:t>
      </w:r>
    </w:p>
    <w:p w14:paraId="4C8AA873" w14:textId="77777777" w:rsidR="0014205D" w:rsidRPr="003702AF" w:rsidRDefault="0014205D" w:rsidP="0014205D">
      <w:r w:rsidRPr="003702AF">
        <w:t xml:space="preserve">Dokumentet e plota të tenderit gjenden në "Gazetën Elektronike të Prokurimit Publik të Republikës së Kroacisë" ( </w:t>
      </w:r>
      <w:hyperlink r:id="rId17" w:history="1">
        <w:r w:rsidRPr="003702AF">
          <w:rPr>
            <w:rStyle w:val="Hyperlink"/>
          </w:rPr>
          <w:t xml:space="preserve">https://eojn.hr/tender-eo/6319 </w:t>
        </w:r>
      </w:hyperlink>
      <w:r w:rsidRPr="003702AF">
        <w:t>).</w:t>
      </w:r>
    </w:p>
    <w:p w14:paraId="7E6D1A77" w14:textId="77777777" w:rsidR="0075586E" w:rsidRPr="003702AF" w:rsidRDefault="008C47A8" w:rsidP="000D382D">
      <w:pPr>
        <w:pStyle w:val="Subtitle"/>
        <w:rPr>
          <w:highlight w:val="yellow"/>
        </w:rPr>
      </w:pPr>
      <w:r w:rsidRPr="003702AF">
        <w:t xml:space="preserve">Loti 2: Kompjuter </w:t>
      </w:r>
      <w:r w:rsidR="005A71C9">
        <w:t>të gjitha në n</w:t>
      </w:r>
      <w:r w:rsidRPr="003702AF">
        <w:t>jë</w:t>
      </w:r>
      <w:r w:rsidR="005A71C9">
        <w:t xml:space="preserve"> </w:t>
      </w:r>
      <w:r w:rsidRPr="003702AF">
        <w:t>ALL24</w:t>
      </w:r>
    </w:p>
    <w:p w14:paraId="3A9D4D81" w14:textId="77777777" w:rsidR="0014205D" w:rsidRPr="003702AF" w:rsidRDefault="0014205D" w:rsidP="0014205D">
      <w:r w:rsidRPr="003702AF">
        <w:t>Elaborim</w:t>
      </w:r>
      <w:r w:rsidR="005A71C9">
        <w:t>i</w:t>
      </w:r>
      <w:r w:rsidRPr="003702AF">
        <w:t xml:space="preserve"> i përgjithshëm mbi kriteret e </w:t>
      </w:r>
      <w:r w:rsidR="00B10CF4">
        <w:t>PPGJ</w:t>
      </w:r>
      <w:r w:rsidRPr="003702AF">
        <w:t xml:space="preserve">-ve (e zbatueshme për të gjitha </w:t>
      </w:r>
      <w:r w:rsidRPr="005A71C9">
        <w:rPr>
          <w:i/>
        </w:rPr>
        <w:t>lotet</w:t>
      </w:r>
      <w:r w:rsidRPr="003702AF">
        <w:t>):</w:t>
      </w:r>
    </w:p>
    <w:p w14:paraId="3FB31485" w14:textId="77777777" w:rsidR="0014205D" w:rsidRPr="003702AF" w:rsidRDefault="0014205D" w:rsidP="00FC46B0">
      <w:pPr>
        <w:pStyle w:val="Bullet"/>
      </w:pPr>
      <w:r w:rsidRPr="003702AF">
        <w:t>Çdo model i pajisjes së ofruar duhet të plotësojë kushtet e mëposhtme:</w:t>
      </w:r>
    </w:p>
    <w:p w14:paraId="5427172B" w14:textId="77777777" w:rsidR="00FC46B0" w:rsidRPr="003702AF" w:rsidRDefault="005A71C9" w:rsidP="000D382D">
      <w:pPr>
        <w:pStyle w:val="Bulletsindent"/>
      </w:pPr>
      <w:r>
        <w:t>CE (shenjën</w:t>
      </w:r>
      <w:r w:rsidR="00FC46B0" w:rsidRPr="003702AF">
        <w:t xml:space="preserve"> CE): konfirmon që pajisja plotëson kërkesat e BE-së për sigurinë dhe shëndetin dhe kërkesat e mbrojtjes së mjedisit, </w:t>
      </w:r>
      <w:r w:rsidRPr="003702AF">
        <w:t>d.m.th.</w:t>
      </w:r>
      <w:r w:rsidR="00FC46B0" w:rsidRPr="003702AF">
        <w:t xml:space="preserve"> marka e specifikuar konfirmon pajtueshmërinë me Direktivën 2009/125/EC</w:t>
      </w:r>
    </w:p>
    <w:p w14:paraId="7AB0B930" w14:textId="77777777" w:rsidR="00FC46B0" w:rsidRPr="003702AF" w:rsidRDefault="00FC46B0" w:rsidP="000D382D">
      <w:pPr>
        <w:pStyle w:val="Bulletsindent"/>
      </w:pPr>
      <w:r w:rsidRPr="003702AF">
        <w:t xml:space="preserve">RoHS (Direktiva për Kufizimin e Substancave të Rrezikshme): konfirmon që përdorimi i substancave të rrezikshme në pajisjet elektronike dhe elektrike është i kufizuar, </w:t>
      </w:r>
      <w:r w:rsidR="005A71C9" w:rsidRPr="003702AF">
        <w:t>d.m.th.</w:t>
      </w:r>
      <w:r w:rsidRPr="003702AF">
        <w:t xml:space="preserve"> shenja e treguar konfirmon pajtueshmërinë me Direktivën 2011/65/EU.</w:t>
      </w:r>
    </w:p>
    <w:p w14:paraId="68BD6E35" w14:textId="77777777" w:rsidR="00FC46B0" w:rsidRPr="003702AF" w:rsidRDefault="00FC46B0" w:rsidP="000D382D">
      <w:pPr>
        <w:pStyle w:val="Bulletsindent"/>
      </w:pPr>
      <w:r w:rsidRPr="003702AF">
        <w:t>WEEE (Direktiva e Mbetjeve Elektrike dhe Elektronike): konfirmon se procedura</w:t>
      </w:r>
      <w:r w:rsidR="005A71C9">
        <w:t>t</w:t>
      </w:r>
      <w:r w:rsidRPr="003702AF">
        <w:t xml:space="preserve"> për grumbullimin, riciklimin dhe rikuperimin e sigurt dhe të përgjegjshëm të gjitha llojeve të mbetjeve elektronike</w:t>
      </w:r>
      <w:r w:rsidR="005A71C9" w:rsidRPr="005A71C9">
        <w:t xml:space="preserve"> </w:t>
      </w:r>
      <w:r w:rsidR="005A71C9">
        <w:t>janë siguruar</w:t>
      </w:r>
      <w:r w:rsidRPr="003702AF">
        <w:t xml:space="preserve">, </w:t>
      </w:r>
      <w:r w:rsidR="005A71C9" w:rsidRPr="003702AF">
        <w:t>d.m.th.</w:t>
      </w:r>
      <w:r w:rsidRPr="003702AF">
        <w:t xml:space="preserve"> konfirmon pajtueshmërinë me Direktivën 2012/19/BE</w:t>
      </w:r>
    </w:p>
    <w:p w14:paraId="4639C630" w14:textId="77777777" w:rsidR="00FC46B0" w:rsidRPr="003702AF" w:rsidRDefault="00FC46B0" w:rsidP="007733BC">
      <w:pPr>
        <w:pStyle w:val="Bulletsindent"/>
      </w:pPr>
      <w:r w:rsidRPr="003702AF">
        <w:t>EPEAT (</w:t>
      </w:r>
      <w:r w:rsidR="007733BC">
        <w:t>Vegla</w:t>
      </w:r>
      <w:r w:rsidR="007733BC" w:rsidRPr="007733BC">
        <w:t xml:space="preserve"> Elektronik</w:t>
      </w:r>
      <w:r w:rsidR="007733BC">
        <w:t>e e</w:t>
      </w:r>
      <w:r w:rsidR="007733BC" w:rsidRPr="007733BC">
        <w:t xml:space="preserve"> Vlerësimit Mjedisor të Produkteve</w:t>
      </w:r>
      <w:r w:rsidRPr="003702AF">
        <w:t xml:space="preserve">): është standardi kryesor global mjedisor për sektorin e IT. Programi EPEAT siguron verifikim të pavarur të pretendimeve të prodhuesve dhe regjistri EPEAT përmban produkte nga një gamë e gjerë prodhuesish. Ai përmban dhjetëra kritere energjetike dhe mjedisore. Disa nga kriteret janë: menaxhimi i substancave, përzgjedhja e materialit, jeta e produktit, zgjatja e jetës së produktit, menaxhimi në fund të jetës, vlerësimi i ciklit jetësor, paketimi, gjurmët e karbonit, përgjegjësia mjedisore dhe sociale e korporatës, materialet konsumuese, reduktimet në përdorim e substancave të rrezikshme, kursimit të energjisë, projektimit për ripërdorim dhe/ose riciklim, etj. Deklaratat e konformitetit të prodhuesit i nënshtrohen verifikimit të vazhdueshëm nga organe të kualifikuara për të garantuar konformitetin. Produktet që nuk përputhen me kriteret EPEAT shpallen publikisht dhe hiqen nga EPEAT. Specifikimet teknike specifikojnë shenjat minimale EPEAT që produkti duhet të plotësojë. </w:t>
      </w:r>
      <w:r w:rsidR="001B3738">
        <w:t>Tenderuesi</w:t>
      </w:r>
      <w:r w:rsidRPr="003702AF">
        <w:t xml:space="preserve"> gjithashtu mund të ofrojë një notë më të mirë EPEAT, e cila do të vlerësohet shtesë sipas kriterit të cilësisë</w:t>
      </w:r>
    </w:p>
    <w:p w14:paraId="3174FE99" w14:textId="77777777" w:rsidR="00FC46B0" w:rsidRPr="003702AF" w:rsidRDefault="00FC46B0" w:rsidP="000D382D">
      <w:pPr>
        <w:pStyle w:val="Bulletsindent"/>
      </w:pPr>
      <w:r w:rsidRPr="003702AF">
        <w:lastRenderedPageBreak/>
        <w:t>Garancia e prodhuesit: specifikimet teknike specifikojnë garancinë minimale që duhet të plotësojë çdo produkt. Tenderuesi mund të ofrojë gjithashtu një garanci më të gjatë të prodhuesit, e cila do të vlerësohet shtesë sipas kritereve të cilësisë.</w:t>
      </w:r>
    </w:p>
    <w:p w14:paraId="70580148" w14:textId="77777777" w:rsidR="0014205D" w:rsidRPr="003702AF" w:rsidRDefault="0014205D" w:rsidP="0014205D">
      <w:pPr>
        <w:pStyle w:val="Bulletsindent"/>
      </w:pPr>
      <w:r w:rsidRPr="003702AF">
        <w:rPr>
          <w:b/>
          <w:bCs/>
        </w:rPr>
        <w:t xml:space="preserve">CE (shënimi CE): </w:t>
      </w:r>
      <w:r w:rsidRPr="003702AF">
        <w:t>Konfirmon që pajisja plotëson kërkesat e BE-së për sigurinë, shëndetin dhe mbrojtjen e mjedisit, duke siguruar përputhjen me Direktivën 2009/125/EC.</w:t>
      </w:r>
    </w:p>
    <w:p w14:paraId="7B360EDB" w14:textId="77777777" w:rsidR="0014205D" w:rsidRPr="003702AF" w:rsidRDefault="0014205D" w:rsidP="0014205D">
      <w:pPr>
        <w:pStyle w:val="Bulletsindent"/>
      </w:pPr>
      <w:r w:rsidRPr="003702AF">
        <w:rPr>
          <w:b/>
          <w:bCs/>
        </w:rPr>
        <w:t xml:space="preserve">RoHS (Direktiva e kufizimit të substancave të rrezikshme): </w:t>
      </w:r>
      <w:r w:rsidRPr="003702AF">
        <w:t>Konfirmon që përdorimi i substancave të rrezikshme në pajisjet elektronike dhe elektrike është i kufizuar, duke siguruar përputhjen me Direktivën 2011/65/EU.</w:t>
      </w:r>
    </w:p>
    <w:p w14:paraId="63E4D062" w14:textId="77777777" w:rsidR="0014205D" w:rsidRPr="003702AF" w:rsidRDefault="0014205D" w:rsidP="0014205D">
      <w:pPr>
        <w:pStyle w:val="Bulletsindent"/>
      </w:pPr>
      <w:r w:rsidRPr="003702AF">
        <w:rPr>
          <w:b/>
          <w:bCs/>
        </w:rPr>
        <w:t xml:space="preserve">WEEE (Direktiva për Mbetjet Elektrike dhe Elektronike): </w:t>
      </w:r>
      <w:r w:rsidRPr="003702AF">
        <w:t xml:space="preserve">Konfirmon se ekzistojnë procedura për grumbullimin, riciklimin dhe rikuperimin e sigurt dhe të përgjegjshëm </w:t>
      </w:r>
      <w:r w:rsidR="00F538F7">
        <w:t>e</w:t>
      </w:r>
      <w:r w:rsidRPr="003702AF">
        <w:t xml:space="preserve"> të gjitha llojeve të mbetjeve elektronike, duke siguruar përputhjen me Direktivën 2012/19/BE.</w:t>
      </w:r>
    </w:p>
    <w:p w14:paraId="5C1B1DEF" w14:textId="77777777" w:rsidR="0014205D" w:rsidRPr="003702AF" w:rsidRDefault="0014205D" w:rsidP="0014205D">
      <w:pPr>
        <w:pStyle w:val="Bulletsindent"/>
      </w:pPr>
      <w:r w:rsidRPr="003702AF">
        <w:rPr>
          <w:b/>
          <w:bCs/>
        </w:rPr>
        <w:t>EPEAT</w:t>
      </w:r>
      <w:r w:rsidR="007733BC" w:rsidRPr="007733BC">
        <w:t xml:space="preserve"> </w:t>
      </w:r>
      <w:r w:rsidR="007733BC" w:rsidRPr="007733BC">
        <w:rPr>
          <w:b/>
        </w:rPr>
        <w:t>(Vegla Elektronike e Vlerësimit Mjedisor të Produkteve</w:t>
      </w:r>
      <w:r w:rsidRPr="007733BC">
        <w:rPr>
          <w:b/>
          <w:bCs/>
        </w:rPr>
        <w:t>)</w:t>
      </w:r>
      <w:r w:rsidRPr="003702AF">
        <w:rPr>
          <w:b/>
          <w:bCs/>
        </w:rPr>
        <w:t xml:space="preserve">: </w:t>
      </w:r>
      <w:r w:rsidRPr="003702AF">
        <w:t xml:space="preserve">Ky standard global mjedisor për sektorin e IT siguron verifikim të pavarur të pretendimeve të prodhuesve. Regjistri EPEAT përfshin produkte nga një gamë e gjerë prodhuesish dhe mbulon kritere të shumta të energjisë dhe mjedisit, të tilla si menaxhimi i substancave, përzgjedhja e materialit, jeta e produktit, menaxhimi i fundit të jetës, paketimi, gjurmët e karbonit dhe përgjegjësia sociale e korporatës. Deklaratat e konformitetit të prodhuesit verifikohen vazhdimisht nga organe të kualifikuara. Produktet që nuk përmbushin kriteret EPEAT shpallen publikisht dhe hiqen nga EPEAT. Specifikimet teknike përshkruajnë vlerësimet minimale të kërkuara EPEAT, por </w:t>
      </w:r>
      <w:r w:rsidR="001B3738">
        <w:t>Tenderuesi</w:t>
      </w:r>
      <w:r w:rsidRPr="003702AF">
        <w:t>t mund të ofrojnë vlerësime më të larta EPEAT, të cilat do të vlerësohen shtesë sipas kritereve të cilësisë.</w:t>
      </w:r>
    </w:p>
    <w:p w14:paraId="17584DF7" w14:textId="77777777" w:rsidR="0014205D" w:rsidRPr="003702AF" w:rsidRDefault="0014205D" w:rsidP="0014205D">
      <w:pPr>
        <w:pStyle w:val="Bulletsindent"/>
      </w:pPr>
      <w:r w:rsidRPr="003702AF">
        <w:rPr>
          <w:b/>
          <w:bCs/>
        </w:rPr>
        <w:t xml:space="preserve">Garancia e prodhuesit: </w:t>
      </w:r>
      <w:r w:rsidRPr="003702AF">
        <w:t xml:space="preserve">Specifikimet teknike përcaktojnë garancinë minimale që duhet të përmbushë çdo produkt. </w:t>
      </w:r>
      <w:r w:rsidR="001B3738">
        <w:t>Tenderuesi</w:t>
      </w:r>
      <w:r w:rsidRPr="003702AF">
        <w:t>t mund të ofrojnë një garanci më të gjatë të prodhuesit, e cila do të vlerësohet shtesë sipas kritereve të cilësisë.</w:t>
      </w:r>
    </w:p>
    <w:p w14:paraId="31B3C50A" w14:textId="77777777" w:rsidR="000D382D" w:rsidRPr="003702AF" w:rsidRDefault="000D382D" w:rsidP="00996CA8">
      <w:pPr>
        <w:spacing w:before="240"/>
        <w:rPr>
          <w:rStyle w:val="Emphasis"/>
          <w:b/>
          <w:bCs/>
          <w:i w:val="0"/>
          <w:iCs w:val="0"/>
        </w:rPr>
      </w:pPr>
      <w:r w:rsidRPr="003702AF">
        <w:rPr>
          <w:rStyle w:val="Emphasis"/>
          <w:b/>
          <w:bCs/>
          <w:i w:val="0"/>
          <w:iCs w:val="0"/>
        </w:rPr>
        <w:t xml:space="preserve">Kriteret e </w:t>
      </w:r>
      <w:r w:rsidR="00B10CF4">
        <w:rPr>
          <w:rStyle w:val="Emphasis"/>
          <w:b/>
          <w:bCs/>
          <w:i w:val="0"/>
          <w:iCs w:val="0"/>
        </w:rPr>
        <w:t>PPGJ</w:t>
      </w:r>
      <w:r w:rsidRPr="003702AF">
        <w:rPr>
          <w:rStyle w:val="Emphasis"/>
          <w:b/>
          <w:bCs/>
          <w:i w:val="0"/>
          <w:iCs w:val="0"/>
        </w:rPr>
        <w:t xml:space="preserve"> në specifikimet teknike për Lotin 2:</w:t>
      </w:r>
    </w:p>
    <w:p w14:paraId="589ACEF9" w14:textId="77777777" w:rsidR="00FC46B0" w:rsidRPr="003702AF" w:rsidRDefault="000D382D" w:rsidP="00C01166">
      <w:r w:rsidRPr="003702AF">
        <w:t>Kërkesat minimale për Lotin 2:</w:t>
      </w:r>
    </w:p>
    <w:p w14:paraId="46030517" w14:textId="77777777" w:rsidR="000D382D" w:rsidRPr="003702AF" w:rsidRDefault="000D382D" w:rsidP="000D382D">
      <w:pPr>
        <w:pStyle w:val="Bullet"/>
      </w:pPr>
      <w:r w:rsidRPr="003702AF">
        <w:t>EPEAT bronzi</w:t>
      </w:r>
    </w:p>
    <w:p w14:paraId="7CE72D00" w14:textId="77777777" w:rsidR="000D382D" w:rsidRPr="003702AF" w:rsidRDefault="000D382D" w:rsidP="000D382D">
      <w:pPr>
        <w:pStyle w:val="Bullet"/>
      </w:pPr>
      <w:r w:rsidRPr="003702AF">
        <w:t>RoHS, WEEE, CE</w:t>
      </w:r>
    </w:p>
    <w:p w14:paraId="4BB65D8C" w14:textId="77777777" w:rsidR="000D382D" w:rsidRPr="003702AF" w:rsidRDefault="000D382D" w:rsidP="00BE6B26">
      <w:pPr>
        <w:pStyle w:val="Bullet"/>
      </w:pPr>
      <w:r w:rsidRPr="003702AF">
        <w:t>Garancia e prodhuesit: Tr</w:t>
      </w:r>
      <w:r w:rsidR="007733BC">
        <w:t>i vite</w:t>
      </w:r>
      <w:r w:rsidRPr="003702AF">
        <w:t>.</w:t>
      </w:r>
    </w:p>
    <w:p w14:paraId="2E2FAA23" w14:textId="77777777" w:rsidR="00BD09EB" w:rsidRPr="003702AF" w:rsidRDefault="00BD09EB" w:rsidP="00996CA8">
      <w:pPr>
        <w:spacing w:before="240"/>
        <w:rPr>
          <w:rStyle w:val="Emphasis"/>
          <w:b/>
          <w:bCs/>
          <w:i w:val="0"/>
          <w:iCs w:val="0"/>
        </w:rPr>
      </w:pPr>
      <w:r w:rsidRPr="003702AF">
        <w:rPr>
          <w:rStyle w:val="Emphasis"/>
          <w:b/>
          <w:bCs/>
          <w:i w:val="0"/>
          <w:iCs w:val="0"/>
        </w:rPr>
        <w:t xml:space="preserve">Kriteret e </w:t>
      </w:r>
      <w:r w:rsidR="00B10CF4">
        <w:rPr>
          <w:rStyle w:val="Emphasis"/>
          <w:b/>
          <w:bCs/>
          <w:i w:val="0"/>
          <w:iCs w:val="0"/>
        </w:rPr>
        <w:t>PPGJ</w:t>
      </w:r>
      <w:r w:rsidRPr="003702AF">
        <w:rPr>
          <w:rStyle w:val="Emphasis"/>
          <w:b/>
          <w:bCs/>
          <w:i w:val="0"/>
          <w:iCs w:val="0"/>
        </w:rPr>
        <w:t xml:space="preserve"> në kriteret e dhënies për Lotin 2:</w:t>
      </w:r>
    </w:p>
    <w:p w14:paraId="759ED83A" w14:textId="77777777" w:rsidR="007D2CAB" w:rsidRPr="003702AF" w:rsidRDefault="007D2CAB" w:rsidP="007D2CAB">
      <w:r w:rsidRPr="003702AF">
        <w:t>Tenderi ekonomikisht më i favorshëm i bazuar në kriteret e çmimit/cilësisë zbatohet me peshën relative të mëposhtme:</w:t>
      </w:r>
    </w:p>
    <w:p w14:paraId="69DA2F44" w14:textId="77777777" w:rsidR="00BD09EB" w:rsidRPr="003702AF" w:rsidRDefault="00BD09EB" w:rsidP="00BD09EB">
      <w:pPr>
        <w:pStyle w:val="Bullet"/>
      </w:pPr>
      <w:r w:rsidRPr="003702AF">
        <w:t>Çmimi: 90</w:t>
      </w:r>
    </w:p>
    <w:p w14:paraId="725429D4" w14:textId="77777777" w:rsidR="00BD09EB" w:rsidRPr="003702AF" w:rsidRDefault="00BD09EB" w:rsidP="00BD09EB">
      <w:pPr>
        <w:pStyle w:val="Bullet"/>
      </w:pPr>
      <w:r w:rsidRPr="003702AF">
        <w:t>Cilësia:</w:t>
      </w:r>
    </w:p>
    <w:p w14:paraId="21D599F6" w14:textId="77777777" w:rsidR="00BD09EB" w:rsidRPr="003702AF" w:rsidRDefault="00BD09EB" w:rsidP="00996CA8">
      <w:pPr>
        <w:pStyle w:val="Bulletsindent"/>
      </w:pPr>
      <w:r w:rsidRPr="003702AF">
        <w:lastRenderedPageBreak/>
        <w:t>Certifikata EPEAT - 4</w:t>
      </w:r>
    </w:p>
    <w:p w14:paraId="1A80343B" w14:textId="77777777" w:rsidR="00BD09EB" w:rsidRPr="003702AF" w:rsidRDefault="00BD09EB" w:rsidP="00996CA8">
      <w:pPr>
        <w:pStyle w:val="Bulletsindent"/>
      </w:pPr>
      <w:r w:rsidRPr="003702AF">
        <w:t>Garancia e prodhuesit – 6</w:t>
      </w:r>
    </w:p>
    <w:p w14:paraId="4360884F" w14:textId="77777777" w:rsidR="002721E7" w:rsidRPr="003702AF" w:rsidRDefault="002721E7" w:rsidP="00C01166"/>
    <w:p w14:paraId="695A2679" w14:textId="77777777" w:rsidR="00BD09EB" w:rsidRPr="003702AF" w:rsidRDefault="009E57C7" w:rsidP="00C01166">
      <w:r>
        <w:t xml:space="preserve">Elaborimi </w:t>
      </w:r>
      <w:r w:rsidR="00996CA8" w:rsidRPr="003702AF">
        <w:t>i kritereve të cilësisë:</w:t>
      </w:r>
    </w:p>
    <w:p w14:paraId="4282DFC0" w14:textId="77777777" w:rsidR="007D2CAB" w:rsidRPr="003702AF" w:rsidRDefault="007D2CAB" w:rsidP="007D2CAB">
      <w:pPr>
        <w:pStyle w:val="Bullet"/>
        <w:rPr>
          <w:b/>
          <w:bCs/>
        </w:rPr>
      </w:pPr>
      <w:r w:rsidRPr="003702AF">
        <w:rPr>
          <w:b/>
          <w:bCs/>
        </w:rPr>
        <w:t>Certifikata EPEAT:</w:t>
      </w:r>
    </w:p>
    <w:p w14:paraId="31CEA2E4" w14:textId="77777777" w:rsidR="007D2CAB" w:rsidRPr="003702AF" w:rsidRDefault="007D2CAB" w:rsidP="007D2CAB">
      <w:pPr>
        <w:pStyle w:val="NormalIndent1"/>
      </w:pPr>
      <w:r w:rsidRPr="003702AF">
        <w:t>Pikët do të jepen në bazë të një certifikate EPEAT që tejkalon kërkesën minimale të përcaktuar në specifikimet teknike. Numri maksimal i pikëve është 4, i dhënë si më poshtë:</w:t>
      </w:r>
    </w:p>
    <w:p w14:paraId="5F4BCC02" w14:textId="77777777" w:rsidR="0095261D" w:rsidRPr="003702AF" w:rsidRDefault="0095261D" w:rsidP="007D2CAB">
      <w:pPr>
        <w:pStyle w:val="Bulletsindent"/>
      </w:pPr>
      <w:r w:rsidRPr="003702AF">
        <w:t>EPEAT Bronz – 0</w:t>
      </w:r>
    </w:p>
    <w:p w14:paraId="79DE57FE" w14:textId="77777777" w:rsidR="0095261D" w:rsidRPr="003702AF" w:rsidRDefault="0095261D" w:rsidP="007D2CAB">
      <w:pPr>
        <w:pStyle w:val="Bulletsindent"/>
      </w:pPr>
      <w:r w:rsidRPr="003702AF">
        <w:t xml:space="preserve">EPEAT </w:t>
      </w:r>
      <w:r w:rsidR="009E57C7">
        <w:t xml:space="preserve">Argjend </w:t>
      </w:r>
      <w:r w:rsidRPr="003702AF">
        <w:t xml:space="preserve"> - 2</w:t>
      </w:r>
    </w:p>
    <w:p w14:paraId="61E2A15C" w14:textId="77777777" w:rsidR="0095261D" w:rsidRPr="003702AF" w:rsidRDefault="0095261D" w:rsidP="007D2CAB">
      <w:pPr>
        <w:pStyle w:val="Bulletsindent"/>
      </w:pPr>
      <w:r w:rsidRPr="003702AF">
        <w:t>EPEAT Ar</w:t>
      </w:r>
      <w:r w:rsidR="009E57C7">
        <w:t>i</w:t>
      </w:r>
      <w:r w:rsidRPr="003702AF">
        <w:t xml:space="preserve"> - 4</w:t>
      </w:r>
    </w:p>
    <w:p w14:paraId="4E552A73" w14:textId="77777777" w:rsidR="007D2CAB" w:rsidRPr="003702AF" w:rsidRDefault="0095261D" w:rsidP="007D2CAB">
      <w:pPr>
        <w:pStyle w:val="NormalIndent1"/>
      </w:pPr>
      <w:r w:rsidRPr="003702AF">
        <w:t xml:space="preserve">Verifikimi: Autoriteti </w:t>
      </w:r>
      <w:r w:rsidR="009E57C7" w:rsidRPr="003702AF">
        <w:t>kontrak</w:t>
      </w:r>
      <w:r w:rsidR="009E57C7">
        <w:t>tues</w:t>
      </w:r>
      <w:r w:rsidRPr="003702AF">
        <w:t xml:space="preserve"> do të pranojë një katalog, dokumentacion tjetër teknik, ose një deklaratë të lëshuar nga prodhuesi, ose një përfaqësues, agjent ose shpërndarës i prodhuesit si dëshmi të pranueshme.</w:t>
      </w:r>
    </w:p>
    <w:p w14:paraId="344A6A6D" w14:textId="77777777" w:rsidR="000530B8" w:rsidRPr="003702AF" w:rsidRDefault="000530B8" w:rsidP="000530B8">
      <w:pPr>
        <w:pStyle w:val="Bullet"/>
        <w:rPr>
          <w:b/>
          <w:bCs/>
        </w:rPr>
      </w:pPr>
      <w:r w:rsidRPr="003702AF">
        <w:rPr>
          <w:b/>
          <w:bCs/>
        </w:rPr>
        <w:t>Garancia e prodhuesit:</w:t>
      </w:r>
    </w:p>
    <w:p w14:paraId="25E1999D" w14:textId="77777777" w:rsidR="009A5875" w:rsidRPr="003702AF" w:rsidRDefault="009A5875" w:rsidP="009A5875">
      <w:pPr>
        <w:pStyle w:val="NormalIndent1"/>
      </w:pPr>
      <w:r w:rsidRPr="003702AF">
        <w:t>Pikët do të jepen në bazë të një garancie të prodhuesit që tejkalon kërkesën minimale të përcaktuar në specifikimet teknike. Numri maksimal i pikëve është 6, i dhënë si më poshtë:</w:t>
      </w:r>
    </w:p>
    <w:p w14:paraId="5ACED07C" w14:textId="77777777" w:rsidR="000530B8" w:rsidRPr="003702AF" w:rsidRDefault="000530B8" w:rsidP="009A5875">
      <w:pPr>
        <w:pStyle w:val="Bulletsindent"/>
      </w:pPr>
      <w:r w:rsidRPr="003702AF">
        <w:t>Tre vjet - 0</w:t>
      </w:r>
    </w:p>
    <w:p w14:paraId="4B210495" w14:textId="77777777" w:rsidR="000530B8" w:rsidRPr="003702AF" w:rsidRDefault="000530B8" w:rsidP="009A5875">
      <w:pPr>
        <w:pStyle w:val="Bulletsindent"/>
      </w:pPr>
      <w:r w:rsidRPr="003702AF">
        <w:t>Katër vjet - 3</w:t>
      </w:r>
    </w:p>
    <w:p w14:paraId="4CB9924F" w14:textId="77777777" w:rsidR="000530B8" w:rsidRPr="003702AF" w:rsidRDefault="000530B8" w:rsidP="009A5875">
      <w:pPr>
        <w:pStyle w:val="Bulletsindent"/>
      </w:pPr>
      <w:r w:rsidRPr="003702AF">
        <w:t>Pesë vjet - 6</w:t>
      </w:r>
    </w:p>
    <w:p w14:paraId="062EB3CC" w14:textId="77777777" w:rsidR="00737748" w:rsidRPr="003702AF" w:rsidRDefault="000530B8" w:rsidP="002721E7">
      <w:pPr>
        <w:pStyle w:val="NormalIndent1"/>
        <w:spacing w:after="240"/>
      </w:pPr>
      <w:r w:rsidRPr="003702AF">
        <w:t>Verifikimi: Autoriteti kontrak</w:t>
      </w:r>
      <w:r w:rsidR="009E57C7">
        <w:t>tues</w:t>
      </w:r>
      <w:r w:rsidRPr="003702AF">
        <w:t xml:space="preserve"> do të pranojë katalogun, dokumentacionin tjetër teknik, ose një deklaratë të lëshuar nga prodhuesi ose përfaqësuesi i prodhuesit si dëshmi të pranueshme.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01166" w:rsidRPr="003702AF" w14:paraId="4A71AB11" w14:textId="77777777" w:rsidTr="00BE6B26">
        <w:tc>
          <w:tcPr>
            <w:tcW w:w="9360" w:type="dxa"/>
            <w:shd w:val="clear" w:color="auto" w:fill="538135" w:themeFill="accent6" w:themeFillShade="BF"/>
            <w:tcMar>
              <w:top w:w="113" w:type="dxa"/>
              <w:left w:w="142" w:type="dxa"/>
              <w:bottom w:w="113" w:type="dxa"/>
              <w:right w:w="142" w:type="dxa"/>
            </w:tcMar>
          </w:tcPr>
          <w:bookmarkEnd w:id="0"/>
          <w:p w14:paraId="48B45D72" w14:textId="77777777" w:rsidR="00C01166" w:rsidRPr="003702AF" w:rsidRDefault="00C01166" w:rsidP="00BE6B26">
            <w:pPr>
              <w:widowControl w:val="0"/>
            </w:pPr>
            <w:r w:rsidRPr="003702AF">
              <w:rPr>
                <w:b/>
                <w:bCs/>
                <w:color w:val="FFFFFF" w:themeColor="background1"/>
                <w:sz w:val="24"/>
                <w:szCs w:val="24"/>
              </w:rPr>
              <w:t>Pikat e diskutimit</w:t>
            </w:r>
          </w:p>
        </w:tc>
      </w:tr>
      <w:tr w:rsidR="00C01166" w:rsidRPr="003702AF" w14:paraId="4ADCAF1D" w14:textId="77777777" w:rsidTr="00BE6B26">
        <w:tc>
          <w:tcPr>
            <w:tcW w:w="0" w:type="auto"/>
            <w:shd w:val="clear" w:color="auto" w:fill="EDF6EA"/>
            <w:tcMar>
              <w:top w:w="113" w:type="dxa"/>
              <w:left w:w="142" w:type="dxa"/>
              <w:bottom w:w="113" w:type="dxa"/>
              <w:right w:w="142" w:type="dxa"/>
            </w:tcMar>
          </w:tcPr>
          <w:p w14:paraId="05BC7E0D" w14:textId="77777777" w:rsidR="00D5640D" w:rsidRPr="003702AF" w:rsidRDefault="004750F5" w:rsidP="00740E3B">
            <w:pPr>
              <w:spacing w:after="160" w:line="259" w:lineRule="auto"/>
            </w:pPr>
            <w:r w:rsidRPr="003702AF">
              <w:t xml:space="preserve">Përdorni diskutimin mbi shembullin praktik të paraqitur për të përfunduar të kuptuarit e kritereve të </w:t>
            </w:r>
            <w:r w:rsidR="00B10CF4">
              <w:t>PPGJ</w:t>
            </w:r>
            <w:r w:rsidRPr="003702AF">
              <w:t xml:space="preserve"> dhe zbatimin e tyre.</w:t>
            </w:r>
          </w:p>
          <w:p w14:paraId="2B3C6827" w14:textId="77777777" w:rsidR="00784750" w:rsidRPr="003702AF" w:rsidRDefault="004750F5" w:rsidP="00740E3B">
            <w:pPr>
              <w:spacing w:after="160" w:line="259" w:lineRule="auto"/>
            </w:pPr>
            <w:r w:rsidRPr="003702AF">
              <w:t>Drejtoni diskutimin me pikat e mëposhtme:</w:t>
            </w:r>
          </w:p>
          <w:p w14:paraId="4774792F" w14:textId="77777777" w:rsidR="00C250E8" w:rsidRPr="003702AF" w:rsidRDefault="00C250E8" w:rsidP="00740E3B">
            <w:pPr>
              <w:pStyle w:val="Bullet"/>
            </w:pPr>
            <w:r w:rsidRPr="003702AF">
              <w:t xml:space="preserve">Hyrje në kriteret e </w:t>
            </w:r>
            <w:r w:rsidR="00B10CF4">
              <w:t>PPGJ</w:t>
            </w:r>
          </w:p>
          <w:p w14:paraId="5A59D1D2" w14:textId="77777777" w:rsidR="00C250E8" w:rsidRPr="003702AF" w:rsidRDefault="00C250E8" w:rsidP="00740E3B">
            <w:pPr>
              <w:pStyle w:val="Bulletsindent"/>
            </w:pPr>
            <w:r w:rsidRPr="003702AF">
              <w:t xml:space="preserve">Kuptimi i </w:t>
            </w:r>
            <w:r w:rsidR="00B10CF4">
              <w:t>PPGJ</w:t>
            </w:r>
            <w:r w:rsidRPr="003702AF">
              <w:t xml:space="preserve">: Diskutoni rëndësinë e integrimit të kritereve të </w:t>
            </w:r>
            <w:r w:rsidR="00B10CF4">
              <w:t>PPGJ</w:t>
            </w:r>
            <w:r w:rsidRPr="003702AF">
              <w:t xml:space="preserve"> në proceset e prokurimit publik, veçanërisht për pajisjet e TI-së.</w:t>
            </w:r>
          </w:p>
          <w:p w14:paraId="42D345A6" w14:textId="77777777" w:rsidR="00C250E8" w:rsidRPr="003702AF" w:rsidRDefault="00C250E8" w:rsidP="00740E3B">
            <w:pPr>
              <w:pStyle w:val="Bulletsindent"/>
            </w:pPr>
            <w:r w:rsidRPr="003702AF">
              <w:t xml:space="preserve">Ndikimi i </w:t>
            </w:r>
            <w:r w:rsidR="00B10CF4">
              <w:t>PPGJ</w:t>
            </w:r>
            <w:r w:rsidRPr="003702AF">
              <w:t xml:space="preserve">: Theksoni se si kriteret e </w:t>
            </w:r>
            <w:r w:rsidR="00B10CF4">
              <w:t>PPGJ</w:t>
            </w:r>
            <w:r w:rsidRPr="003702AF">
              <w:t xml:space="preserve"> kontribuojnë në qëndrueshmërinë duke siguruar që standardet mjedisore të përmbushen gjatë </w:t>
            </w:r>
            <w:r w:rsidRPr="003702AF">
              <w:lastRenderedPageBreak/>
              <w:t xml:space="preserve">gjithë ciklit jetësor të produkteve të </w:t>
            </w:r>
            <w:r w:rsidR="009E57C7">
              <w:t>furnizuara</w:t>
            </w:r>
            <w:r w:rsidRPr="003702AF">
              <w:t>.</w:t>
            </w:r>
          </w:p>
          <w:p w14:paraId="3E23BB69" w14:textId="77777777" w:rsidR="00C250E8" w:rsidRPr="003702AF" w:rsidRDefault="00C250E8" w:rsidP="00740E3B">
            <w:pPr>
              <w:pStyle w:val="Bullet"/>
            </w:pPr>
            <w:r w:rsidRPr="003702AF">
              <w:t xml:space="preserve">Kriteret kryesore të </w:t>
            </w:r>
            <w:r w:rsidR="00B10CF4">
              <w:t>PPGJ</w:t>
            </w:r>
            <w:r w:rsidRPr="003702AF">
              <w:t xml:space="preserve"> në shembull</w:t>
            </w:r>
          </w:p>
          <w:p w14:paraId="7BD97745" w14:textId="77777777" w:rsidR="00C250E8" w:rsidRPr="003702AF" w:rsidRDefault="009E57C7" w:rsidP="00740E3B">
            <w:pPr>
              <w:pStyle w:val="Bulletsindent"/>
            </w:pPr>
            <w:r>
              <w:t>Shenja</w:t>
            </w:r>
            <w:r w:rsidR="00C250E8" w:rsidRPr="003702AF">
              <w:t xml:space="preserve"> CE: Diskutoni rëndësinë e </w:t>
            </w:r>
            <w:r>
              <w:t>shenjëzimit</w:t>
            </w:r>
            <w:r w:rsidR="00C250E8" w:rsidRPr="003702AF">
              <w:t xml:space="preserve"> CE në sigurimin e përputhshmërisë me kërkesat e BE-së për sigurinë, shëndetin dhe mbrojtjen e mjedisit.</w:t>
            </w:r>
          </w:p>
          <w:p w14:paraId="60C180E2" w14:textId="77777777" w:rsidR="00C250E8" w:rsidRPr="003702AF" w:rsidRDefault="00C250E8" w:rsidP="00740E3B">
            <w:pPr>
              <w:pStyle w:val="Bulletsindent"/>
            </w:pPr>
            <w:r w:rsidRPr="003702AF">
              <w:t>Direktiva RoHS: Shpjegoni rëndësinë e kufizimit të substancave të rrezikshme në pajisjet elektronike dhe elektrike.</w:t>
            </w:r>
          </w:p>
          <w:p w14:paraId="7A7A50D0" w14:textId="77777777" w:rsidR="00C250E8" w:rsidRPr="003702AF" w:rsidRDefault="00C250E8" w:rsidP="00740E3B">
            <w:pPr>
              <w:pStyle w:val="Bulletsindent"/>
            </w:pPr>
            <w:r w:rsidRPr="003702AF">
              <w:t>Direktiva WEEE: Diskutoni nevojën e menaxhimit të duhur elektronik të mbetjeve dhe rolin e direktivës WEEE në promovimin e riciklimit të përgjegjshëm.</w:t>
            </w:r>
          </w:p>
          <w:p w14:paraId="417B3F49" w14:textId="77777777" w:rsidR="00C250E8" w:rsidRPr="003702AF" w:rsidRDefault="00C250E8" w:rsidP="00740E3B">
            <w:pPr>
              <w:pStyle w:val="Bulletsindent"/>
            </w:pPr>
            <w:r w:rsidRPr="003702AF">
              <w:t>Certifikimi EPEAT: Përpunoni EPEAT (</w:t>
            </w:r>
            <w:r w:rsidR="009E57C7">
              <w:t>Vegla</w:t>
            </w:r>
            <w:r w:rsidRPr="003702AF">
              <w:t xml:space="preserve"> Elektronik</w:t>
            </w:r>
            <w:r w:rsidR="009E57C7">
              <w:t>e e</w:t>
            </w:r>
            <w:r w:rsidRPr="003702AF">
              <w:t xml:space="preserve"> Vlerësimit Mjedisor të Produktit) dhe rolin e tij si një standard global mjedisor, duke përfshirë ndikimin e tij në hartimin e produktit, menaxhimin e ciklit jetësor dhe përgjegjësinë e korporatës.</w:t>
            </w:r>
          </w:p>
          <w:p w14:paraId="3037B9F3" w14:textId="77777777" w:rsidR="00624398" w:rsidRPr="003702AF" w:rsidRDefault="00C250E8" w:rsidP="00624398">
            <w:pPr>
              <w:pStyle w:val="Bulletsindent"/>
            </w:pPr>
            <w:r w:rsidRPr="003702AF">
              <w:t>Garancia e prodhuesit: Diskutoni rolin e garancisë së prodhuesit në procesin e prokurimit, duke theksuar rëndësinë e saj në sigurimin e besueshmërisë afatgjatë të produktit.</w:t>
            </w:r>
          </w:p>
          <w:p w14:paraId="64E55E5D" w14:textId="77777777" w:rsidR="00C250E8" w:rsidRPr="003702AF" w:rsidRDefault="00C250E8" w:rsidP="00740E3B">
            <w:pPr>
              <w:pStyle w:val="Bullets1"/>
            </w:pPr>
            <w:r w:rsidRPr="003702AF">
              <w:t>Specifikimet teknike</w:t>
            </w:r>
          </w:p>
          <w:p w14:paraId="4E6213BD" w14:textId="77777777" w:rsidR="00C250E8" w:rsidRPr="003702AF" w:rsidRDefault="00740E3B" w:rsidP="00740E3B">
            <w:pPr>
              <w:pStyle w:val="Bulletsindent"/>
            </w:pPr>
            <w:r w:rsidRPr="003702AF">
              <w:t>EPEAT Bronze: Pse është i rëndësishëm vendosja e një standardi minimal EPEAT? Cilat janë implikimet e kërkimit vetëm të nivelit të Bronzit?</w:t>
            </w:r>
          </w:p>
          <w:p w14:paraId="239C2077" w14:textId="77777777" w:rsidR="00C250E8" w:rsidRPr="003702AF" w:rsidRDefault="00C250E8" w:rsidP="00740E3B">
            <w:pPr>
              <w:pStyle w:val="Bulletsindent"/>
            </w:pPr>
            <w:r w:rsidRPr="003702AF">
              <w:t>Pajtueshmëria me RoHS, WEEE, CE: Diskutoni rëndësinë e përfshirjes së këtyre direktivave si kërkesa minimale në specifikimet teknike.</w:t>
            </w:r>
          </w:p>
          <w:p w14:paraId="379630CD" w14:textId="77777777" w:rsidR="00C250E8" w:rsidRPr="003702AF" w:rsidRDefault="00C250E8" w:rsidP="00740E3B">
            <w:pPr>
              <w:pStyle w:val="Bulletsindent"/>
            </w:pPr>
            <w:r w:rsidRPr="003702AF">
              <w:t>Garancia e prodhuesit (tre vjet): Cilat konsiderata duhet të merren kur caktohet një periudhë minimale garancie? Si ndikon kjo si tek autoriteti kontrak</w:t>
            </w:r>
            <w:r w:rsidR="009E57C7">
              <w:t>tues</w:t>
            </w:r>
            <w:r w:rsidRPr="003702AF">
              <w:t xml:space="preserve"> ashtu edhe tek furnitorët?</w:t>
            </w:r>
          </w:p>
          <w:p w14:paraId="17DAEB76" w14:textId="77777777" w:rsidR="00C250E8" w:rsidRPr="003702AF" w:rsidRDefault="00740E3B" w:rsidP="00740E3B">
            <w:pPr>
              <w:pStyle w:val="Bullets1"/>
            </w:pPr>
            <w:r w:rsidRPr="003702AF">
              <w:t>Kriteret e dhënies</w:t>
            </w:r>
          </w:p>
          <w:p w14:paraId="4487D02E" w14:textId="77777777" w:rsidR="00C250E8" w:rsidRPr="003702AF" w:rsidRDefault="00C250E8" w:rsidP="00740E3B">
            <w:pPr>
              <w:pStyle w:val="Bulletsindent"/>
            </w:pPr>
            <w:r w:rsidRPr="003702AF">
              <w:t>Certifikimi EPEAT: Si inkurajon dhënia e pikëve bazuar në nivelet EPEAT (Bronz, Argjend, Ar) standarde më të larta mjedisore? Cilat janë avantazhet dhe disavantazhet e mundshme të kësaj qasjeje?</w:t>
            </w:r>
          </w:p>
          <w:p w14:paraId="294A4509" w14:textId="77777777" w:rsidR="00C250E8" w:rsidRPr="003702AF" w:rsidRDefault="00C250E8" w:rsidP="00740E3B">
            <w:pPr>
              <w:pStyle w:val="Bulletsindent"/>
            </w:pPr>
            <w:r w:rsidRPr="003702AF">
              <w:t>Garancia e prodhuesit: Diskutoni ndikimin e ofrimit të pikëve shtesë për garanci më të gjata. Si mund t'i stimulojë kjo furnitorët që të ofrojnë produkte më të qëndrueshme?</w:t>
            </w:r>
          </w:p>
          <w:p w14:paraId="21473952" w14:textId="77777777" w:rsidR="00C250E8" w:rsidRPr="003702AF" w:rsidRDefault="00C250E8" w:rsidP="00740E3B">
            <w:pPr>
              <w:pStyle w:val="Bullet"/>
            </w:pPr>
            <w:r w:rsidRPr="003702AF">
              <w:t>Verifikimi i pajtueshmërisë</w:t>
            </w:r>
          </w:p>
          <w:p w14:paraId="446ECA77" w14:textId="77777777" w:rsidR="00C250E8" w:rsidRPr="003702AF" w:rsidRDefault="00C250E8" w:rsidP="00740E3B">
            <w:pPr>
              <w:pStyle w:val="Bulletsindent"/>
            </w:pPr>
            <w:r w:rsidRPr="003702AF">
              <w:t>Dëshmia e pranueshme: Diskutoni besueshmërinë e formave të ndryshme të provave (katalogë, dokumentacion teknik, deklarata të prodhuesit) në verifikimin e përputhshmërisë me kriteret e specifikuara. Cilat janë rreziqet dhe si mund të zbuten ato?</w:t>
            </w:r>
          </w:p>
          <w:p w14:paraId="695A229A" w14:textId="77777777" w:rsidR="00C250E8" w:rsidRPr="003702AF" w:rsidRDefault="00C250E8" w:rsidP="00740E3B">
            <w:pPr>
              <w:pStyle w:val="Bulletsindent"/>
            </w:pPr>
            <w:r w:rsidRPr="003702AF">
              <w:t>Sfidat në verifikim: Çfarë sfidash praktike mund të lindin në verifikimin e pajtueshmërisë me këto kritere? Si mundet autoriteti kontrakt</w:t>
            </w:r>
            <w:r w:rsidR="009E57C7">
              <w:t>ues</w:t>
            </w:r>
            <w:r w:rsidRPr="003702AF">
              <w:t xml:space="preserve"> të sigurojë saktësinë dhe besueshmërinë e informacionit të ofruar nga </w:t>
            </w:r>
            <w:r w:rsidR="001B3738">
              <w:t>Tenderuesi</w:t>
            </w:r>
            <w:r w:rsidRPr="003702AF">
              <w:t>t?</w:t>
            </w:r>
          </w:p>
          <w:p w14:paraId="41EE52F3" w14:textId="77777777" w:rsidR="00624398" w:rsidRPr="003702AF" w:rsidRDefault="009E57C7" w:rsidP="000B22D2">
            <w:pPr>
              <w:spacing w:after="160" w:line="259" w:lineRule="auto"/>
            </w:pPr>
            <w:r>
              <w:t xml:space="preserve">Kërkoni </w:t>
            </w:r>
            <w:r w:rsidR="00AE0B7F" w:rsidRPr="003702AF">
              <w:t xml:space="preserve">së bashku kontekstin aktual kombëtar dhe sfidat në zbatimin e kritereve të shembullit, </w:t>
            </w:r>
            <w:r w:rsidR="00AE0B7F" w:rsidRPr="003702AF">
              <w:lastRenderedPageBreak/>
              <w:t>veçanërisht në dritën e gjendjes dhe zhvillimeve që rregullojnë sektorët përkatës si materialet e rrezikshme dhe menaxhimi i mbetjeve elektronike)</w:t>
            </w:r>
          </w:p>
          <w:p w14:paraId="6EF1086B" w14:textId="77777777" w:rsidR="000B22D2" w:rsidRPr="003702AF" w:rsidRDefault="000B22D2" w:rsidP="000B22D2">
            <w:pPr>
              <w:spacing w:after="160" w:line="259" w:lineRule="auto"/>
            </w:pPr>
            <w:r w:rsidRPr="003702AF">
              <w:t>Inkurajoni pjesëmarrësit të ndajnë përvojat ose sfidat e tyre në zbatimin e kritereve të ngjashme të PPP-ve në proceset e tyre të prokurimit. Nëse nuk i kanë përdorur kritere të tilla, nxitini të shtjellojnë arsyet pse.</w:t>
            </w:r>
          </w:p>
          <w:p w14:paraId="2FDCF066" w14:textId="77777777" w:rsidR="000B22D2" w:rsidRPr="003702AF" w:rsidRDefault="00D5640D" w:rsidP="000B22D2">
            <w:pPr>
              <w:spacing w:after="160" w:line="259" w:lineRule="auto"/>
            </w:pPr>
            <w:r w:rsidRPr="003702AF">
              <w:t>Përqendrohuni në praktikat më të mira:</w:t>
            </w:r>
          </w:p>
          <w:p w14:paraId="49FF58E3" w14:textId="77777777" w:rsidR="000B22D2" w:rsidRPr="003702AF" w:rsidRDefault="000B22D2" w:rsidP="00D5640D">
            <w:pPr>
              <w:pStyle w:val="Bullet"/>
            </w:pPr>
            <w:r w:rsidRPr="003702AF">
              <w:t xml:space="preserve">Diskutoni strategjitë e suksesshme për përfshirjen e kritereve të </w:t>
            </w:r>
            <w:r w:rsidR="00B10CF4">
              <w:t>PPGJ</w:t>
            </w:r>
            <w:r w:rsidRPr="003702AF">
              <w:t>. Cilat qasje kanë funksionuar mirë në kontekste të ndryshme prokurimi dhe si mund të përshtaten ato për të përmbushur nevojat specifike?</w:t>
            </w:r>
          </w:p>
          <w:p w14:paraId="6401E284" w14:textId="77777777" w:rsidR="000B22D2" w:rsidRPr="003702AF" w:rsidRDefault="009E57C7" w:rsidP="00D5640D">
            <w:pPr>
              <w:pStyle w:val="Bullet"/>
            </w:pPr>
            <w:r>
              <w:t>Kërkoni</w:t>
            </w:r>
            <w:r w:rsidR="000B22D2" w:rsidRPr="003702AF">
              <w:t xml:space="preserve"> metodat për angazhimin e palëve të interesuara dhe për t'u siguruar që kriteret e </w:t>
            </w:r>
            <w:r w:rsidR="00B10CF4">
              <w:t>PPGJ</w:t>
            </w:r>
            <w:r w:rsidR="000B22D2" w:rsidRPr="003702AF">
              <w:t xml:space="preserve"> të komunikohen qartë dhe të kuptohen nga të gjitha palët e përfshira në procesin e prokurimit.</w:t>
            </w:r>
          </w:p>
          <w:p w14:paraId="375BCAEE" w14:textId="77777777" w:rsidR="000B22D2" w:rsidRPr="003702AF" w:rsidRDefault="009E57C7" w:rsidP="000B22D2">
            <w:pPr>
              <w:spacing w:after="160" w:line="259" w:lineRule="auto"/>
            </w:pPr>
            <w:r>
              <w:t>Kërkoni</w:t>
            </w:r>
            <w:r w:rsidR="00D5640D" w:rsidRPr="003702AF">
              <w:t xml:space="preserve"> ndikimin më të gjerë të zbatimit të këtyre kritereve në prokurimin publik:</w:t>
            </w:r>
          </w:p>
          <w:p w14:paraId="5784D24B" w14:textId="77777777" w:rsidR="000B22D2" w:rsidRPr="003702AF" w:rsidRDefault="000B22D2" w:rsidP="00D5640D">
            <w:pPr>
              <w:pStyle w:val="Bullet"/>
            </w:pPr>
            <w:r w:rsidRPr="003702AF">
              <w:t xml:space="preserve">Diskutoni se si aplikimi i vazhdueshëm i kritereve të </w:t>
            </w:r>
            <w:r w:rsidR="00B10CF4">
              <w:t>PPGJ</w:t>
            </w:r>
            <w:r w:rsidRPr="003702AF">
              <w:t xml:space="preserve">-ve në prokurimin publik mund të ndikojë në tendencat e tregut. A mund t'i shtyjë kjo furnitorët të </w:t>
            </w:r>
            <w:r w:rsidR="009E57C7">
              <w:t>sjellin risi</w:t>
            </w:r>
            <w:r w:rsidRPr="003702AF">
              <w:t>, duke krijuar produkte më të qëndrueshme për të përmbushur kërkesën?</w:t>
            </w:r>
          </w:p>
          <w:p w14:paraId="1D846C2D" w14:textId="77777777" w:rsidR="000B22D2" w:rsidRPr="003702AF" w:rsidRDefault="000B22D2" w:rsidP="00D5640D">
            <w:pPr>
              <w:pStyle w:val="Bullet"/>
            </w:pPr>
            <w:r w:rsidRPr="003702AF">
              <w:t>Merrni parasysh efektet e mundshme afatgjata në hartimin e produktit, proceset e prodhimit dhe peizazhin e përgjithshëm të tregut ndërsa furnitorët përshtaten për të përmbushur kriteret.</w:t>
            </w:r>
          </w:p>
          <w:p w14:paraId="7C36C785" w14:textId="77777777" w:rsidR="000B22D2" w:rsidRPr="003702AF" w:rsidRDefault="009E57C7" w:rsidP="00D5640D">
            <w:pPr>
              <w:pStyle w:val="Bullet"/>
            </w:pPr>
            <w:r>
              <w:t>Kërkoni</w:t>
            </w:r>
            <w:r w:rsidR="00D5640D" w:rsidRPr="003702AF">
              <w:t xml:space="preserve"> se si furnizuesit më të vegjël mund të ndikohen nga kriteret e </w:t>
            </w:r>
            <w:r w:rsidR="00B10CF4">
              <w:t>PPGJ</w:t>
            </w:r>
            <w:r w:rsidR="00D5640D" w:rsidRPr="003702AF">
              <w:t>. A mund të përballen ata me sfida në përmbushjen e këtyre kërkesave për shkak të burimeve ose ekspertizës së kufizuar?</w:t>
            </w:r>
          </w:p>
          <w:p w14:paraId="5C913CF7" w14:textId="77777777" w:rsidR="00C01166" w:rsidRPr="003702AF" w:rsidRDefault="000B22D2" w:rsidP="00D5640D">
            <w:pPr>
              <w:pStyle w:val="Bullet"/>
            </w:pPr>
            <w:r w:rsidRPr="003702AF">
              <w:t>Diskutoni strategji për të siguruar një fushë loje të barabartë, të tilla si ofrimi i mbështetjes ose udhëzimit për furnitorët më të vegjël, ofrimi i programeve të trajnimit ose përshtatja e kritereve për të lejuar pjesëmarrje më të gjerë pa kompromentuar qëllimet e qëndrueshmërisë.</w:t>
            </w:r>
          </w:p>
        </w:tc>
      </w:tr>
    </w:tbl>
    <w:p w14:paraId="0F36CE25" w14:textId="77777777" w:rsidR="00A23087" w:rsidRPr="003702AF" w:rsidRDefault="00A23087" w:rsidP="005B3D2E">
      <w:pPr>
        <w:pStyle w:val="Subtitle"/>
      </w:pPr>
    </w:p>
    <w:sectPr w:rsidR="00A23087" w:rsidRPr="003702AF" w:rsidSect="004535D3">
      <w:headerReference w:type="default" r:id="rId18"/>
      <w:footerReference w:type="default" r:id="rId19"/>
      <w:type w:val="continuous"/>
      <w:pgSz w:w="12240" w:h="15840" w:code="1"/>
      <w:pgMar w:top="1440" w:right="1440" w:bottom="1440" w:left="1440" w:header="720" w:footer="10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85BA" w14:textId="77777777" w:rsidR="00AD0B7C" w:rsidRDefault="00AD0B7C" w:rsidP="00CD3068">
      <w:pPr>
        <w:spacing w:after="0" w:line="240" w:lineRule="auto"/>
      </w:pPr>
      <w:r>
        <w:separator/>
      </w:r>
    </w:p>
  </w:endnote>
  <w:endnote w:type="continuationSeparator" w:id="0">
    <w:p w14:paraId="371E30E9" w14:textId="77777777" w:rsidR="00AD0B7C" w:rsidRDefault="00AD0B7C" w:rsidP="00CD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750E" w14:textId="77777777" w:rsidR="00BE6B26" w:rsidRDefault="00BE6B26">
    <w:pPr>
      <w:pStyle w:val="Footer"/>
    </w:pPr>
    <w:r w:rsidRPr="00173269">
      <w:rPr>
        <w:rFonts w:cs="Arial"/>
        <w:noProof/>
        <w:lang w:val="en-US"/>
      </w:rPr>
      <w:drawing>
        <wp:anchor distT="0" distB="0" distL="114300" distR="114300" simplePos="0" relativeHeight="251668480" behindDoc="1" locked="0" layoutInCell="1" allowOverlap="1" wp14:anchorId="365F3A8D" wp14:editId="7E56141A">
          <wp:simplePos x="0" y="0"/>
          <wp:positionH relativeFrom="margin">
            <wp:posOffset>5499100</wp:posOffset>
          </wp:positionH>
          <wp:positionV relativeFrom="bottomMargin">
            <wp:posOffset>148590</wp:posOffset>
          </wp:positionV>
          <wp:extent cx="1301750" cy="677545"/>
          <wp:effectExtent l="0" t="0" r="0" b="8255"/>
          <wp:wrapTight wrapText="bothSides">
            <wp:wrapPolygon edited="0">
              <wp:start x="0" y="0"/>
              <wp:lineTo x="0" y="21256"/>
              <wp:lineTo x="21179" y="21256"/>
              <wp:lineTo x="21179" y="0"/>
              <wp:lineTo x="0" y="0"/>
            </wp:wrapPolygon>
          </wp:wrapTight>
          <wp:docPr id="1076211351" name="Picture 107621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750" cy="677545"/>
                  </a:xfrm>
                  <a:prstGeom prst="rect">
                    <a:avLst/>
                  </a:prstGeom>
                  <a:noFill/>
                  <a:ln>
                    <a:noFill/>
                  </a:ln>
                </pic:spPr>
              </pic:pic>
            </a:graphicData>
          </a:graphic>
        </wp:anchor>
      </w:drawing>
    </w:r>
  </w:p>
  <w:p w14:paraId="5C68665D" w14:textId="77777777" w:rsidR="00BE6B26" w:rsidRDefault="00BE6B26">
    <w:pPr>
      <w:pStyle w:val="Footer"/>
    </w:pPr>
    <w:r w:rsidRPr="00173269">
      <w:rPr>
        <w:rFonts w:cs="Arial"/>
        <w:noProof/>
        <w:lang w:val="en-US"/>
      </w:rPr>
      <w:drawing>
        <wp:anchor distT="0" distB="0" distL="114300" distR="114300" simplePos="0" relativeHeight="251671552" behindDoc="0" locked="0" layoutInCell="1" allowOverlap="1" wp14:anchorId="474E2454" wp14:editId="1BD48029">
          <wp:simplePos x="0" y="0"/>
          <wp:positionH relativeFrom="column">
            <wp:posOffset>-425450</wp:posOffset>
          </wp:positionH>
          <wp:positionV relativeFrom="paragraph">
            <wp:posOffset>-90805</wp:posOffset>
          </wp:positionV>
          <wp:extent cx="571500" cy="571500"/>
          <wp:effectExtent l="0" t="0" r="0" b="0"/>
          <wp:wrapNone/>
          <wp:docPr id="406444523" name="Picture 4064445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Pr>
        <w:noProof/>
        <w:lang w:val="en-US"/>
      </w:rPr>
      <w:drawing>
        <wp:anchor distT="0" distB="0" distL="114300" distR="114300" simplePos="0" relativeHeight="251672576" behindDoc="0" locked="0" layoutInCell="1" allowOverlap="1" wp14:anchorId="42456FF9" wp14:editId="7CE57D71">
          <wp:simplePos x="0" y="0"/>
          <wp:positionH relativeFrom="margin">
            <wp:posOffset>-622300</wp:posOffset>
          </wp:positionH>
          <wp:positionV relativeFrom="paragraph">
            <wp:posOffset>425450</wp:posOffset>
          </wp:positionV>
          <wp:extent cx="1104045" cy="218272"/>
          <wp:effectExtent l="0" t="0" r="1270" b="0"/>
          <wp:wrapNone/>
          <wp:docPr id="1404041470" name="Picture 140404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1129785" cy="223361"/>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0E70" w14:textId="77777777" w:rsidR="00BE6B26" w:rsidRDefault="00BE6B26">
    <w:pPr>
      <w:pStyle w:val="Footer"/>
    </w:pPr>
    <w:r w:rsidRPr="00173269">
      <w:rPr>
        <w:rFonts w:cs="Arial"/>
        <w:noProof/>
        <w:lang w:val="en-US"/>
      </w:rPr>
      <w:drawing>
        <wp:anchor distT="0" distB="0" distL="114300" distR="114300" simplePos="0" relativeHeight="251659264" behindDoc="1" locked="0" layoutInCell="1" allowOverlap="1" wp14:anchorId="0C494A41" wp14:editId="72B264D8">
          <wp:simplePos x="0" y="0"/>
          <wp:positionH relativeFrom="margin">
            <wp:posOffset>5499100</wp:posOffset>
          </wp:positionH>
          <wp:positionV relativeFrom="bottomMargin">
            <wp:posOffset>148590</wp:posOffset>
          </wp:positionV>
          <wp:extent cx="1301750" cy="677545"/>
          <wp:effectExtent l="0" t="0" r="0" b="8255"/>
          <wp:wrapTight wrapText="bothSides">
            <wp:wrapPolygon edited="0">
              <wp:start x="0" y="0"/>
              <wp:lineTo x="0" y="21256"/>
              <wp:lineTo x="21179" y="21256"/>
              <wp:lineTo x="21179" y="0"/>
              <wp:lineTo x="0" y="0"/>
            </wp:wrapPolygon>
          </wp:wrapTight>
          <wp:docPr id="1899858832" name="Picture 189985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750" cy="677545"/>
                  </a:xfrm>
                  <a:prstGeom prst="rect">
                    <a:avLst/>
                  </a:prstGeom>
                  <a:noFill/>
                  <a:ln>
                    <a:noFill/>
                  </a:ln>
                </pic:spPr>
              </pic:pic>
            </a:graphicData>
          </a:graphic>
        </wp:anchor>
      </w:drawing>
    </w:r>
  </w:p>
  <w:p w14:paraId="03B28FC5" w14:textId="77777777" w:rsidR="00BE6B26" w:rsidRDefault="00BE6B26">
    <w:pPr>
      <w:pStyle w:val="Footer"/>
    </w:pPr>
    <w:r w:rsidRPr="00173269">
      <w:rPr>
        <w:rFonts w:cs="Arial"/>
        <w:noProof/>
        <w:lang w:val="en-US"/>
      </w:rPr>
      <w:drawing>
        <wp:anchor distT="0" distB="0" distL="114300" distR="114300" simplePos="0" relativeHeight="251664384" behindDoc="0" locked="0" layoutInCell="1" allowOverlap="1" wp14:anchorId="40D3AC61" wp14:editId="1388CD19">
          <wp:simplePos x="0" y="0"/>
          <wp:positionH relativeFrom="column">
            <wp:posOffset>-425450</wp:posOffset>
          </wp:positionH>
          <wp:positionV relativeFrom="paragraph">
            <wp:posOffset>-90805</wp:posOffset>
          </wp:positionV>
          <wp:extent cx="571500" cy="571500"/>
          <wp:effectExtent l="0" t="0" r="0" b="0"/>
          <wp:wrapNone/>
          <wp:docPr id="918095196" name="Picture 9180951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Pr>
        <w:noProof/>
        <w:lang w:val="en-US"/>
      </w:rPr>
      <w:drawing>
        <wp:anchor distT="0" distB="0" distL="114300" distR="114300" simplePos="0" relativeHeight="251666432" behindDoc="0" locked="0" layoutInCell="1" allowOverlap="1" wp14:anchorId="0230F2FB" wp14:editId="2AE631D2">
          <wp:simplePos x="0" y="0"/>
          <wp:positionH relativeFrom="margin">
            <wp:posOffset>-622300</wp:posOffset>
          </wp:positionH>
          <wp:positionV relativeFrom="paragraph">
            <wp:posOffset>425450</wp:posOffset>
          </wp:positionV>
          <wp:extent cx="1104045" cy="218272"/>
          <wp:effectExtent l="0" t="0" r="1270" b="0"/>
          <wp:wrapNone/>
          <wp:docPr id="990894248" name="Picture 99089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1129785" cy="22336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7E93" w14:textId="77777777" w:rsidR="00AD0B7C" w:rsidRDefault="00AD0B7C" w:rsidP="00CD3068">
      <w:pPr>
        <w:spacing w:after="0" w:line="240" w:lineRule="auto"/>
      </w:pPr>
      <w:r>
        <w:separator/>
      </w:r>
    </w:p>
  </w:footnote>
  <w:footnote w:type="continuationSeparator" w:id="0">
    <w:p w14:paraId="3E854F03" w14:textId="77777777" w:rsidR="00AD0B7C" w:rsidRDefault="00AD0B7C" w:rsidP="00CD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381E" w14:textId="77777777" w:rsidR="00BE6B26" w:rsidRPr="00D62E54" w:rsidRDefault="00BE6B26" w:rsidP="003702AF">
    <w:pPr>
      <w:pStyle w:val="Header"/>
      <w:tabs>
        <w:tab w:val="clear" w:pos="4680"/>
        <w:tab w:val="clear" w:pos="9360"/>
        <w:tab w:val="left" w:pos="10080"/>
        <w:tab w:val="right" w:pos="10350"/>
        <w:tab w:val="left" w:pos="10530"/>
      </w:tabs>
      <w:ind w:right="-540"/>
      <w:jc w:val="left"/>
      <w:rPr>
        <w:b/>
        <w:bCs/>
        <w:color w:val="2F5496" w:themeColor="accent1" w:themeShade="BF"/>
        <w:sz w:val="18"/>
        <w:szCs w:val="18"/>
      </w:rPr>
    </w:pPr>
    <w:r>
      <w:rPr>
        <w:noProof/>
        <w:sz w:val="18"/>
        <w:szCs w:val="18"/>
        <w:lang w:val="en-US"/>
      </w:rPr>
      <w:drawing>
        <wp:anchor distT="0" distB="0" distL="114300" distR="114300" simplePos="0" relativeHeight="251675648" behindDoc="0" locked="0" layoutInCell="1" allowOverlap="1" wp14:anchorId="71EEE001" wp14:editId="74147D0C">
          <wp:simplePos x="0" y="0"/>
          <wp:positionH relativeFrom="column">
            <wp:posOffset>4124325</wp:posOffset>
          </wp:positionH>
          <wp:positionV relativeFrom="paragraph">
            <wp:posOffset>-66675</wp:posOffset>
          </wp:positionV>
          <wp:extent cx="581025" cy="285750"/>
          <wp:effectExtent l="19050" t="0" r="9525" b="0"/>
          <wp:wrapSquare wrapText="bothSides"/>
          <wp:docPr id="990894262" name="Picture 9908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anchor>
      </w:drawing>
    </w:r>
    <w:r>
      <w:rPr>
        <w:noProof/>
        <w:sz w:val="18"/>
        <w:szCs w:val="18"/>
        <w:lang w:val="en-US"/>
      </w:rPr>
      <w:drawing>
        <wp:anchor distT="0" distB="0" distL="114300" distR="114300" simplePos="0" relativeHeight="251674624" behindDoc="0" locked="0" layoutInCell="1" allowOverlap="1" wp14:anchorId="510E2AC5" wp14:editId="278BB9AF">
          <wp:simplePos x="0" y="0"/>
          <wp:positionH relativeFrom="column">
            <wp:posOffset>-402590</wp:posOffset>
          </wp:positionH>
          <wp:positionV relativeFrom="paragraph">
            <wp:posOffset>-28575</wp:posOffset>
          </wp:positionV>
          <wp:extent cx="390525" cy="285750"/>
          <wp:effectExtent l="19050" t="0" r="9525" b="0"/>
          <wp:wrapSquare wrapText="bothSides"/>
          <wp:docPr id="990894263" name="Picture 99089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anchor>
      </w:drawing>
    </w:r>
    <w:r w:rsidRPr="00D62E54">
      <w:rPr>
        <w:b/>
        <w:bCs/>
        <w:color w:val="2F5496" w:themeColor="accent1" w:themeShade="BF"/>
        <w:sz w:val="18"/>
        <w:szCs w:val="18"/>
      </w:rPr>
      <w:t xml:space="preserve">Financuar nga </w:t>
    </w:r>
    <w:r>
      <w:rPr>
        <w:b/>
        <w:bCs/>
        <w:color w:val="2F5496" w:themeColor="accent1" w:themeShade="BF"/>
        <w:sz w:val="18"/>
        <w:szCs w:val="18"/>
      </w:rPr>
      <w:t xml:space="preserve">                                                                                                                                         </w:t>
    </w:r>
    <w:r w:rsidRPr="00D62E54">
      <w:rPr>
        <w:b/>
        <w:bCs/>
        <w:color w:val="2F5496" w:themeColor="accent1" w:themeShade="BF"/>
        <w:sz w:val="18"/>
        <w:szCs w:val="18"/>
      </w:rPr>
      <w:t xml:space="preserve">Ministria </w:t>
    </w:r>
    <w:r>
      <w:rPr>
        <w:b/>
        <w:bCs/>
        <w:color w:val="2F5496" w:themeColor="accent1" w:themeShade="BF"/>
        <w:sz w:val="18"/>
        <w:szCs w:val="18"/>
      </w:rPr>
      <w:t xml:space="preserve">e </w:t>
    </w:r>
    <w:r w:rsidRPr="00D62E54">
      <w:rPr>
        <w:b/>
        <w:bCs/>
        <w:color w:val="2F5496" w:themeColor="accent1" w:themeShade="BF"/>
        <w:sz w:val="18"/>
        <w:szCs w:val="18"/>
      </w:rPr>
      <w:t>Financave</w:t>
    </w:r>
  </w:p>
  <w:p w14:paraId="3619B815" w14:textId="77777777" w:rsidR="00BE6B26" w:rsidRPr="00D62E54" w:rsidRDefault="00BE6B26" w:rsidP="003702AF">
    <w:pPr>
      <w:pStyle w:val="Header"/>
      <w:tabs>
        <w:tab w:val="clear" w:pos="9360"/>
        <w:tab w:val="right" w:pos="10620"/>
      </w:tabs>
      <w:ind w:right="-270"/>
      <w:jc w:val="left"/>
      <w:rPr>
        <w:b/>
        <w:bCs/>
        <w:color w:val="2F5496" w:themeColor="accent1" w:themeShade="BF"/>
        <w:sz w:val="18"/>
        <w:szCs w:val="18"/>
      </w:rPr>
    </w:pPr>
    <w:r w:rsidRPr="00D62E54">
      <w:rPr>
        <w:b/>
        <w:bCs/>
        <w:color w:val="2F5496" w:themeColor="accent1" w:themeShade="BF"/>
        <w:sz w:val="18"/>
        <w:szCs w:val="18"/>
      </w:rPr>
      <w:t>Bashkimi Evropian</w:t>
    </w:r>
    <w:r w:rsidRPr="00D62E54">
      <w:rPr>
        <w:b/>
        <w:bCs/>
        <w:sz w:val="18"/>
        <w:szCs w:val="18"/>
      </w:rPr>
      <w:t xml:space="preserve">                                                           </w:t>
    </w:r>
    <w:r>
      <w:rPr>
        <w:b/>
        <w:bCs/>
        <w:sz w:val="18"/>
        <w:szCs w:val="18"/>
      </w:rPr>
      <w:t xml:space="preserve">                                                         </w:t>
    </w:r>
    <w:r>
      <w:rPr>
        <w:b/>
        <w:bCs/>
        <w:color w:val="2F5496" w:themeColor="accent1" w:themeShade="BF"/>
        <w:sz w:val="18"/>
        <w:szCs w:val="18"/>
      </w:rPr>
      <w:t xml:space="preserve">Punës dhe </w:t>
    </w:r>
    <w:r w:rsidRPr="00D62E54">
      <w:rPr>
        <w:b/>
        <w:bCs/>
        <w:color w:val="2F5496" w:themeColor="accent1" w:themeShade="BF"/>
        <w:sz w:val="18"/>
        <w:szCs w:val="18"/>
      </w:rPr>
      <w:t>Transfereve</w:t>
    </w:r>
  </w:p>
  <w:p w14:paraId="13B7C7BC" w14:textId="77777777" w:rsidR="00BE6B26" w:rsidRDefault="00BE6B2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ACBF" w14:textId="77777777" w:rsidR="00BE6B26" w:rsidRPr="00D62E54" w:rsidRDefault="00BE6B26" w:rsidP="00B10CF4">
    <w:pPr>
      <w:pStyle w:val="Header"/>
      <w:tabs>
        <w:tab w:val="clear" w:pos="4680"/>
        <w:tab w:val="clear" w:pos="9360"/>
        <w:tab w:val="left" w:pos="10080"/>
        <w:tab w:val="right" w:pos="10350"/>
        <w:tab w:val="left" w:pos="10530"/>
      </w:tabs>
      <w:ind w:right="-540"/>
      <w:jc w:val="left"/>
      <w:rPr>
        <w:b/>
        <w:bCs/>
        <w:color w:val="2F5496" w:themeColor="accent1" w:themeShade="BF"/>
        <w:sz w:val="18"/>
        <w:szCs w:val="18"/>
      </w:rPr>
    </w:pPr>
    <w:r>
      <w:rPr>
        <w:noProof/>
        <w:sz w:val="18"/>
        <w:szCs w:val="18"/>
        <w:lang w:val="en-US"/>
      </w:rPr>
      <w:drawing>
        <wp:anchor distT="0" distB="0" distL="114300" distR="114300" simplePos="0" relativeHeight="251678720" behindDoc="0" locked="0" layoutInCell="1" allowOverlap="1" wp14:anchorId="0B0A5E07" wp14:editId="27C5DD54">
          <wp:simplePos x="0" y="0"/>
          <wp:positionH relativeFrom="column">
            <wp:posOffset>4124325</wp:posOffset>
          </wp:positionH>
          <wp:positionV relativeFrom="paragraph">
            <wp:posOffset>-66675</wp:posOffset>
          </wp:positionV>
          <wp:extent cx="581025" cy="2857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anchor>
      </w:drawing>
    </w:r>
    <w:r>
      <w:rPr>
        <w:noProof/>
        <w:sz w:val="18"/>
        <w:szCs w:val="18"/>
        <w:lang w:val="en-US"/>
      </w:rPr>
      <w:drawing>
        <wp:anchor distT="0" distB="0" distL="114300" distR="114300" simplePos="0" relativeHeight="251677696" behindDoc="0" locked="0" layoutInCell="1" allowOverlap="1" wp14:anchorId="6CC8AE7D" wp14:editId="69DADC7B">
          <wp:simplePos x="0" y="0"/>
          <wp:positionH relativeFrom="column">
            <wp:posOffset>-402590</wp:posOffset>
          </wp:positionH>
          <wp:positionV relativeFrom="paragraph">
            <wp:posOffset>-28575</wp:posOffset>
          </wp:positionV>
          <wp:extent cx="390525" cy="285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anchor>
      </w:drawing>
    </w:r>
    <w:r w:rsidRPr="00D62E54">
      <w:rPr>
        <w:b/>
        <w:bCs/>
        <w:color w:val="2F5496" w:themeColor="accent1" w:themeShade="BF"/>
        <w:sz w:val="18"/>
        <w:szCs w:val="18"/>
      </w:rPr>
      <w:t xml:space="preserve">Financuar nga </w:t>
    </w:r>
    <w:r>
      <w:rPr>
        <w:b/>
        <w:bCs/>
        <w:color w:val="2F5496" w:themeColor="accent1" w:themeShade="BF"/>
        <w:sz w:val="18"/>
        <w:szCs w:val="18"/>
      </w:rPr>
      <w:t xml:space="preserve">                                                                                                                                         </w:t>
    </w:r>
    <w:r w:rsidRPr="00D62E54">
      <w:rPr>
        <w:b/>
        <w:bCs/>
        <w:color w:val="2F5496" w:themeColor="accent1" w:themeShade="BF"/>
        <w:sz w:val="18"/>
        <w:szCs w:val="18"/>
      </w:rPr>
      <w:t xml:space="preserve">Ministria </w:t>
    </w:r>
    <w:r>
      <w:rPr>
        <w:b/>
        <w:bCs/>
        <w:color w:val="2F5496" w:themeColor="accent1" w:themeShade="BF"/>
        <w:sz w:val="18"/>
        <w:szCs w:val="18"/>
      </w:rPr>
      <w:t xml:space="preserve">e </w:t>
    </w:r>
    <w:r w:rsidRPr="00D62E54">
      <w:rPr>
        <w:b/>
        <w:bCs/>
        <w:color w:val="2F5496" w:themeColor="accent1" w:themeShade="BF"/>
        <w:sz w:val="18"/>
        <w:szCs w:val="18"/>
      </w:rPr>
      <w:t>Financave</w:t>
    </w:r>
  </w:p>
  <w:p w14:paraId="122AF288" w14:textId="77777777" w:rsidR="00BE6B26" w:rsidRPr="00D62E54" w:rsidRDefault="00BE6B26" w:rsidP="00B10CF4">
    <w:pPr>
      <w:pStyle w:val="Header"/>
      <w:tabs>
        <w:tab w:val="clear" w:pos="9360"/>
        <w:tab w:val="right" w:pos="10620"/>
      </w:tabs>
      <w:ind w:right="-270"/>
      <w:jc w:val="left"/>
      <w:rPr>
        <w:b/>
        <w:bCs/>
        <w:color w:val="2F5496" w:themeColor="accent1" w:themeShade="BF"/>
        <w:sz w:val="18"/>
        <w:szCs w:val="18"/>
      </w:rPr>
    </w:pPr>
    <w:r w:rsidRPr="00D62E54">
      <w:rPr>
        <w:b/>
        <w:bCs/>
        <w:color w:val="2F5496" w:themeColor="accent1" w:themeShade="BF"/>
        <w:sz w:val="18"/>
        <w:szCs w:val="18"/>
      </w:rPr>
      <w:t>Bashkimi Evropian</w:t>
    </w:r>
    <w:r w:rsidRPr="00D62E54">
      <w:rPr>
        <w:b/>
        <w:bCs/>
        <w:sz w:val="18"/>
        <w:szCs w:val="18"/>
      </w:rPr>
      <w:t xml:space="preserve">                                                           </w:t>
    </w:r>
    <w:r>
      <w:rPr>
        <w:b/>
        <w:bCs/>
        <w:sz w:val="18"/>
        <w:szCs w:val="18"/>
      </w:rPr>
      <w:t xml:space="preserve">                                                         </w:t>
    </w:r>
    <w:r>
      <w:rPr>
        <w:b/>
        <w:bCs/>
        <w:color w:val="2F5496" w:themeColor="accent1" w:themeShade="BF"/>
        <w:sz w:val="18"/>
        <w:szCs w:val="18"/>
      </w:rPr>
      <w:t xml:space="preserve">Punës dhe </w:t>
    </w:r>
    <w:r w:rsidRPr="00D62E54">
      <w:rPr>
        <w:b/>
        <w:bCs/>
        <w:color w:val="2F5496" w:themeColor="accent1" w:themeShade="BF"/>
        <w:sz w:val="18"/>
        <w:szCs w:val="18"/>
      </w:rPr>
      <w:t>Transfereve</w:t>
    </w:r>
  </w:p>
  <w:p w14:paraId="14A70867" w14:textId="77777777" w:rsidR="00BE6B26" w:rsidRDefault="00BE6B2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6D7"/>
    <w:multiLevelType w:val="hybridMultilevel"/>
    <w:tmpl w:val="78B8A5C4"/>
    <w:lvl w:ilvl="0" w:tplc="EEAE1D10">
      <w:start w:val="5"/>
      <w:numFmt w:val="bullet"/>
      <w:pStyle w:val="Bullets1"/>
      <w:lvlText w:val=""/>
      <w:lvlJc w:val="left"/>
      <w:pPr>
        <w:ind w:left="9716" w:hanging="360"/>
      </w:pPr>
      <w:rPr>
        <w:rFonts w:ascii="Symbol" w:eastAsia="MS Mincho"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B25E33"/>
    <w:multiLevelType w:val="hybridMultilevel"/>
    <w:tmpl w:val="5E880C2A"/>
    <w:lvl w:ilvl="0" w:tplc="F4D88540">
      <w:start w:val="4"/>
      <w:numFmt w:val="lowerRoman"/>
      <w:lvlText w:val="(%1)"/>
      <w:lvlJc w:val="left"/>
      <w:pPr>
        <w:ind w:left="1794" w:hanging="72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498C5309"/>
    <w:multiLevelType w:val="hybridMultilevel"/>
    <w:tmpl w:val="D42C41EE"/>
    <w:lvl w:ilvl="0" w:tplc="D2A24420">
      <w:start w:val="1"/>
      <w:numFmt w:val="bullet"/>
      <w:pStyle w:val="Specialbullet"/>
      <w:lvlText w:val=""/>
      <w:lvlJc w:val="left"/>
      <w:pPr>
        <w:ind w:left="1077" w:hanging="360"/>
      </w:pPr>
      <w:rPr>
        <w:rFonts w:ascii="Wingdings" w:hAnsi="Wingdings" w:hint="default"/>
        <w:b/>
        <w:i w:val="0"/>
        <w:color w:val="2F5496" w:themeColor="accent1" w:themeShade="BF"/>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631D1A3B"/>
    <w:multiLevelType w:val="hybridMultilevel"/>
    <w:tmpl w:val="58D4439A"/>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6CEA1843"/>
    <w:multiLevelType w:val="hybridMultilevel"/>
    <w:tmpl w:val="58D4439A"/>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6E335D65"/>
    <w:multiLevelType w:val="hybridMultilevel"/>
    <w:tmpl w:val="FAF0873E"/>
    <w:lvl w:ilvl="0" w:tplc="0BCCCE9E">
      <w:start w:val="4"/>
      <w:numFmt w:val="lowerRoman"/>
      <w:lvlText w:val="%1."/>
      <w:lvlJc w:val="righ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79450B91"/>
    <w:multiLevelType w:val="hybridMultilevel"/>
    <w:tmpl w:val="C36EEBB0"/>
    <w:lvl w:ilvl="0" w:tplc="84927802">
      <w:start w:val="5"/>
      <w:numFmt w:val="bullet"/>
      <w:pStyle w:val="Bullet"/>
      <w:lvlText w:val=""/>
      <w:lvlJc w:val="left"/>
      <w:pPr>
        <w:ind w:left="720" w:hanging="360"/>
      </w:pPr>
      <w:rPr>
        <w:rFonts w:ascii="Symbol" w:eastAsia="MS Mincho"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CB"/>
    <w:rsid w:val="00001CBA"/>
    <w:rsid w:val="00004B09"/>
    <w:rsid w:val="00010AC8"/>
    <w:rsid w:val="00011F55"/>
    <w:rsid w:val="00014AF5"/>
    <w:rsid w:val="00020735"/>
    <w:rsid w:val="000229E3"/>
    <w:rsid w:val="000259B2"/>
    <w:rsid w:val="00032901"/>
    <w:rsid w:val="000354F4"/>
    <w:rsid w:val="00036B3C"/>
    <w:rsid w:val="00041346"/>
    <w:rsid w:val="00043C22"/>
    <w:rsid w:val="0004556E"/>
    <w:rsid w:val="0004672E"/>
    <w:rsid w:val="00047DC4"/>
    <w:rsid w:val="0005112D"/>
    <w:rsid w:val="00052F19"/>
    <w:rsid w:val="000530B8"/>
    <w:rsid w:val="000536D0"/>
    <w:rsid w:val="00056616"/>
    <w:rsid w:val="00061937"/>
    <w:rsid w:val="00063928"/>
    <w:rsid w:val="00063EFA"/>
    <w:rsid w:val="00070062"/>
    <w:rsid w:val="00070535"/>
    <w:rsid w:val="00070A5B"/>
    <w:rsid w:val="00072E76"/>
    <w:rsid w:val="000742D7"/>
    <w:rsid w:val="00075107"/>
    <w:rsid w:val="00077896"/>
    <w:rsid w:val="00081571"/>
    <w:rsid w:val="00081ED1"/>
    <w:rsid w:val="000875FC"/>
    <w:rsid w:val="00091247"/>
    <w:rsid w:val="00092030"/>
    <w:rsid w:val="000A41F8"/>
    <w:rsid w:val="000B22D2"/>
    <w:rsid w:val="000B22F6"/>
    <w:rsid w:val="000B42B5"/>
    <w:rsid w:val="000B5953"/>
    <w:rsid w:val="000B606F"/>
    <w:rsid w:val="000B6BCB"/>
    <w:rsid w:val="000B6BE5"/>
    <w:rsid w:val="000C1862"/>
    <w:rsid w:val="000C38FC"/>
    <w:rsid w:val="000C48A6"/>
    <w:rsid w:val="000C51E0"/>
    <w:rsid w:val="000C638B"/>
    <w:rsid w:val="000C78B2"/>
    <w:rsid w:val="000D1F98"/>
    <w:rsid w:val="000D27EE"/>
    <w:rsid w:val="000D382D"/>
    <w:rsid w:val="000D42D0"/>
    <w:rsid w:val="000D6D74"/>
    <w:rsid w:val="000E4157"/>
    <w:rsid w:val="000F035B"/>
    <w:rsid w:val="000F2D0C"/>
    <w:rsid w:val="000F41F2"/>
    <w:rsid w:val="000F632D"/>
    <w:rsid w:val="00102E1E"/>
    <w:rsid w:val="0010461E"/>
    <w:rsid w:val="00107AB9"/>
    <w:rsid w:val="00112429"/>
    <w:rsid w:val="001128BE"/>
    <w:rsid w:val="0011741B"/>
    <w:rsid w:val="00120297"/>
    <w:rsid w:val="00120AE0"/>
    <w:rsid w:val="00122285"/>
    <w:rsid w:val="001244D6"/>
    <w:rsid w:val="0013503C"/>
    <w:rsid w:val="00135651"/>
    <w:rsid w:val="0014205D"/>
    <w:rsid w:val="00142E72"/>
    <w:rsid w:val="00146D6A"/>
    <w:rsid w:val="00150064"/>
    <w:rsid w:val="00151988"/>
    <w:rsid w:val="0015299D"/>
    <w:rsid w:val="00155396"/>
    <w:rsid w:val="0015608F"/>
    <w:rsid w:val="00157E7E"/>
    <w:rsid w:val="00162A40"/>
    <w:rsid w:val="001648F0"/>
    <w:rsid w:val="00166BB1"/>
    <w:rsid w:val="00171A2C"/>
    <w:rsid w:val="00173269"/>
    <w:rsid w:val="0017461D"/>
    <w:rsid w:val="00175D59"/>
    <w:rsid w:val="00180116"/>
    <w:rsid w:val="00183188"/>
    <w:rsid w:val="00183F63"/>
    <w:rsid w:val="00184C55"/>
    <w:rsid w:val="0018540A"/>
    <w:rsid w:val="0018790B"/>
    <w:rsid w:val="001909AE"/>
    <w:rsid w:val="001973E7"/>
    <w:rsid w:val="00197411"/>
    <w:rsid w:val="001A1E0E"/>
    <w:rsid w:val="001A356A"/>
    <w:rsid w:val="001A3737"/>
    <w:rsid w:val="001B247A"/>
    <w:rsid w:val="001B3738"/>
    <w:rsid w:val="001B3AF1"/>
    <w:rsid w:val="001B5EFD"/>
    <w:rsid w:val="001C0B61"/>
    <w:rsid w:val="001C1D89"/>
    <w:rsid w:val="001C50EA"/>
    <w:rsid w:val="001C5F78"/>
    <w:rsid w:val="001C6080"/>
    <w:rsid w:val="001C6894"/>
    <w:rsid w:val="001C7F21"/>
    <w:rsid w:val="001C7F75"/>
    <w:rsid w:val="001D594D"/>
    <w:rsid w:val="001D6FAE"/>
    <w:rsid w:val="001E029A"/>
    <w:rsid w:val="001E1387"/>
    <w:rsid w:val="001E13DD"/>
    <w:rsid w:val="001E2A66"/>
    <w:rsid w:val="001E3251"/>
    <w:rsid w:val="001E3329"/>
    <w:rsid w:val="001E7139"/>
    <w:rsid w:val="001F1E62"/>
    <w:rsid w:val="001F2BC6"/>
    <w:rsid w:val="002009D0"/>
    <w:rsid w:val="00201ED4"/>
    <w:rsid w:val="002041DC"/>
    <w:rsid w:val="00204E57"/>
    <w:rsid w:val="00205E04"/>
    <w:rsid w:val="002069D9"/>
    <w:rsid w:val="00213977"/>
    <w:rsid w:val="00215F43"/>
    <w:rsid w:val="00220A16"/>
    <w:rsid w:val="00220F21"/>
    <w:rsid w:val="002232D5"/>
    <w:rsid w:val="00224952"/>
    <w:rsid w:val="00224A23"/>
    <w:rsid w:val="00227D70"/>
    <w:rsid w:val="00231DE8"/>
    <w:rsid w:val="002330F7"/>
    <w:rsid w:val="00234928"/>
    <w:rsid w:val="00235518"/>
    <w:rsid w:val="002372BF"/>
    <w:rsid w:val="002415EB"/>
    <w:rsid w:val="0024225F"/>
    <w:rsid w:val="00242FDF"/>
    <w:rsid w:val="00244C90"/>
    <w:rsid w:val="00245791"/>
    <w:rsid w:val="00246C48"/>
    <w:rsid w:val="0024751B"/>
    <w:rsid w:val="002507ED"/>
    <w:rsid w:val="00251AD9"/>
    <w:rsid w:val="00252453"/>
    <w:rsid w:val="00253A57"/>
    <w:rsid w:val="00255058"/>
    <w:rsid w:val="00262B4F"/>
    <w:rsid w:val="00263EB6"/>
    <w:rsid w:val="00266CD1"/>
    <w:rsid w:val="00271E7A"/>
    <w:rsid w:val="002721E7"/>
    <w:rsid w:val="002752C6"/>
    <w:rsid w:val="002757D2"/>
    <w:rsid w:val="00276A38"/>
    <w:rsid w:val="002776C0"/>
    <w:rsid w:val="002807F0"/>
    <w:rsid w:val="00284435"/>
    <w:rsid w:val="00284F3E"/>
    <w:rsid w:val="00286C4C"/>
    <w:rsid w:val="0029102F"/>
    <w:rsid w:val="002951FE"/>
    <w:rsid w:val="00295F17"/>
    <w:rsid w:val="0029671A"/>
    <w:rsid w:val="00297FEF"/>
    <w:rsid w:val="002A0701"/>
    <w:rsid w:val="002A1410"/>
    <w:rsid w:val="002A400F"/>
    <w:rsid w:val="002A4FE6"/>
    <w:rsid w:val="002A5205"/>
    <w:rsid w:val="002B19CE"/>
    <w:rsid w:val="002B20A3"/>
    <w:rsid w:val="002B2A31"/>
    <w:rsid w:val="002B4608"/>
    <w:rsid w:val="002B687F"/>
    <w:rsid w:val="002B73A2"/>
    <w:rsid w:val="002B74C4"/>
    <w:rsid w:val="002C75A1"/>
    <w:rsid w:val="002C77E9"/>
    <w:rsid w:val="002D1175"/>
    <w:rsid w:val="002D20FB"/>
    <w:rsid w:val="002D2EAE"/>
    <w:rsid w:val="002D4198"/>
    <w:rsid w:val="002D746E"/>
    <w:rsid w:val="002D752E"/>
    <w:rsid w:val="002E03FB"/>
    <w:rsid w:val="002E059F"/>
    <w:rsid w:val="002E1287"/>
    <w:rsid w:val="002E3D2B"/>
    <w:rsid w:val="002F36AB"/>
    <w:rsid w:val="002F48C3"/>
    <w:rsid w:val="002F7B69"/>
    <w:rsid w:val="003001B3"/>
    <w:rsid w:val="00301580"/>
    <w:rsid w:val="00304765"/>
    <w:rsid w:val="00305D31"/>
    <w:rsid w:val="0031023B"/>
    <w:rsid w:val="00310282"/>
    <w:rsid w:val="00310910"/>
    <w:rsid w:val="00310ED3"/>
    <w:rsid w:val="0031194B"/>
    <w:rsid w:val="003135E0"/>
    <w:rsid w:val="00313DCD"/>
    <w:rsid w:val="003150DA"/>
    <w:rsid w:val="003157DF"/>
    <w:rsid w:val="00315A4F"/>
    <w:rsid w:val="0032275D"/>
    <w:rsid w:val="00324CF6"/>
    <w:rsid w:val="0032603A"/>
    <w:rsid w:val="003260D1"/>
    <w:rsid w:val="00331EAD"/>
    <w:rsid w:val="00334A44"/>
    <w:rsid w:val="0033541A"/>
    <w:rsid w:val="003358F9"/>
    <w:rsid w:val="00337116"/>
    <w:rsid w:val="00337A43"/>
    <w:rsid w:val="003412BA"/>
    <w:rsid w:val="003432CB"/>
    <w:rsid w:val="0034644A"/>
    <w:rsid w:val="00346520"/>
    <w:rsid w:val="00352134"/>
    <w:rsid w:val="00352877"/>
    <w:rsid w:val="0035436D"/>
    <w:rsid w:val="00355B47"/>
    <w:rsid w:val="00355DAB"/>
    <w:rsid w:val="00356F5A"/>
    <w:rsid w:val="00360AAA"/>
    <w:rsid w:val="003613CE"/>
    <w:rsid w:val="00361A86"/>
    <w:rsid w:val="00362A6C"/>
    <w:rsid w:val="003702AF"/>
    <w:rsid w:val="00370AC8"/>
    <w:rsid w:val="00371AB3"/>
    <w:rsid w:val="0037238C"/>
    <w:rsid w:val="00372DEA"/>
    <w:rsid w:val="003758E7"/>
    <w:rsid w:val="00382019"/>
    <w:rsid w:val="00383148"/>
    <w:rsid w:val="00384B76"/>
    <w:rsid w:val="00390859"/>
    <w:rsid w:val="00393B9F"/>
    <w:rsid w:val="003973F3"/>
    <w:rsid w:val="003A139E"/>
    <w:rsid w:val="003A181D"/>
    <w:rsid w:val="003A1BF3"/>
    <w:rsid w:val="003A29CE"/>
    <w:rsid w:val="003A42F5"/>
    <w:rsid w:val="003A4EA2"/>
    <w:rsid w:val="003A6A3E"/>
    <w:rsid w:val="003A7117"/>
    <w:rsid w:val="003A765D"/>
    <w:rsid w:val="003A7FA6"/>
    <w:rsid w:val="003B1C0B"/>
    <w:rsid w:val="003B73A4"/>
    <w:rsid w:val="003C0132"/>
    <w:rsid w:val="003C19CD"/>
    <w:rsid w:val="003C397F"/>
    <w:rsid w:val="003C5301"/>
    <w:rsid w:val="003C54EB"/>
    <w:rsid w:val="003C5939"/>
    <w:rsid w:val="003C62FD"/>
    <w:rsid w:val="003D1F40"/>
    <w:rsid w:val="003D38BA"/>
    <w:rsid w:val="003D3EE6"/>
    <w:rsid w:val="003D4439"/>
    <w:rsid w:val="003D6997"/>
    <w:rsid w:val="003D7017"/>
    <w:rsid w:val="003D735F"/>
    <w:rsid w:val="003E0897"/>
    <w:rsid w:val="003E55AE"/>
    <w:rsid w:val="003E6973"/>
    <w:rsid w:val="003F217D"/>
    <w:rsid w:val="003F3373"/>
    <w:rsid w:val="004005B4"/>
    <w:rsid w:val="004018C1"/>
    <w:rsid w:val="00402A73"/>
    <w:rsid w:val="004048F3"/>
    <w:rsid w:val="00405645"/>
    <w:rsid w:val="00407BAA"/>
    <w:rsid w:val="0041037E"/>
    <w:rsid w:val="0041243A"/>
    <w:rsid w:val="00412609"/>
    <w:rsid w:val="00415A51"/>
    <w:rsid w:val="004168DE"/>
    <w:rsid w:val="0042085C"/>
    <w:rsid w:val="004222C1"/>
    <w:rsid w:val="0042296D"/>
    <w:rsid w:val="004243F0"/>
    <w:rsid w:val="004252AA"/>
    <w:rsid w:val="00427898"/>
    <w:rsid w:val="00433E5F"/>
    <w:rsid w:val="0043428F"/>
    <w:rsid w:val="00434461"/>
    <w:rsid w:val="00435676"/>
    <w:rsid w:val="004406A3"/>
    <w:rsid w:val="00440B91"/>
    <w:rsid w:val="00441E58"/>
    <w:rsid w:val="00443F81"/>
    <w:rsid w:val="004518C3"/>
    <w:rsid w:val="00451C71"/>
    <w:rsid w:val="004535D3"/>
    <w:rsid w:val="00453EEC"/>
    <w:rsid w:val="004543D2"/>
    <w:rsid w:val="00456EAF"/>
    <w:rsid w:val="004606E1"/>
    <w:rsid w:val="00462734"/>
    <w:rsid w:val="004631F1"/>
    <w:rsid w:val="004633E3"/>
    <w:rsid w:val="00470FEF"/>
    <w:rsid w:val="00471433"/>
    <w:rsid w:val="004733D1"/>
    <w:rsid w:val="00473AA8"/>
    <w:rsid w:val="004750F5"/>
    <w:rsid w:val="00480B86"/>
    <w:rsid w:val="00480CFF"/>
    <w:rsid w:val="004842AE"/>
    <w:rsid w:val="00486783"/>
    <w:rsid w:val="00486E07"/>
    <w:rsid w:val="00487964"/>
    <w:rsid w:val="00491510"/>
    <w:rsid w:val="00492969"/>
    <w:rsid w:val="004930CE"/>
    <w:rsid w:val="0049469A"/>
    <w:rsid w:val="00495321"/>
    <w:rsid w:val="004970C9"/>
    <w:rsid w:val="004A0FC6"/>
    <w:rsid w:val="004A32A1"/>
    <w:rsid w:val="004A3FD3"/>
    <w:rsid w:val="004A523F"/>
    <w:rsid w:val="004A5286"/>
    <w:rsid w:val="004A6299"/>
    <w:rsid w:val="004B1D0C"/>
    <w:rsid w:val="004B57A1"/>
    <w:rsid w:val="004B5D45"/>
    <w:rsid w:val="004B5E64"/>
    <w:rsid w:val="004B72AB"/>
    <w:rsid w:val="004C05F7"/>
    <w:rsid w:val="004C4876"/>
    <w:rsid w:val="004C6860"/>
    <w:rsid w:val="004C7D6B"/>
    <w:rsid w:val="004D1B78"/>
    <w:rsid w:val="004D24F9"/>
    <w:rsid w:val="004D25F0"/>
    <w:rsid w:val="004D32FA"/>
    <w:rsid w:val="004D377A"/>
    <w:rsid w:val="004D38BB"/>
    <w:rsid w:val="004D3A23"/>
    <w:rsid w:val="004D3FBC"/>
    <w:rsid w:val="004D43A5"/>
    <w:rsid w:val="004D5D14"/>
    <w:rsid w:val="004E182C"/>
    <w:rsid w:val="004E3815"/>
    <w:rsid w:val="004F06BF"/>
    <w:rsid w:val="004F0F0A"/>
    <w:rsid w:val="004F2152"/>
    <w:rsid w:val="004F2AC2"/>
    <w:rsid w:val="004F35CA"/>
    <w:rsid w:val="004F6067"/>
    <w:rsid w:val="004F6392"/>
    <w:rsid w:val="004F6D4B"/>
    <w:rsid w:val="004F7366"/>
    <w:rsid w:val="005002A7"/>
    <w:rsid w:val="005013DF"/>
    <w:rsid w:val="0050161B"/>
    <w:rsid w:val="005049D5"/>
    <w:rsid w:val="00505F64"/>
    <w:rsid w:val="005073A6"/>
    <w:rsid w:val="0051137B"/>
    <w:rsid w:val="00516057"/>
    <w:rsid w:val="00516DA9"/>
    <w:rsid w:val="00521FFA"/>
    <w:rsid w:val="00522AA6"/>
    <w:rsid w:val="00524583"/>
    <w:rsid w:val="0052488C"/>
    <w:rsid w:val="005267F8"/>
    <w:rsid w:val="00531134"/>
    <w:rsid w:val="005315EB"/>
    <w:rsid w:val="005325B7"/>
    <w:rsid w:val="0053356F"/>
    <w:rsid w:val="00534AE2"/>
    <w:rsid w:val="0053620C"/>
    <w:rsid w:val="00536536"/>
    <w:rsid w:val="00541ECC"/>
    <w:rsid w:val="00542CC4"/>
    <w:rsid w:val="0054319A"/>
    <w:rsid w:val="00546480"/>
    <w:rsid w:val="00546CF4"/>
    <w:rsid w:val="00552BED"/>
    <w:rsid w:val="005568D4"/>
    <w:rsid w:val="005612F5"/>
    <w:rsid w:val="00564A4F"/>
    <w:rsid w:val="00566F25"/>
    <w:rsid w:val="00571BAB"/>
    <w:rsid w:val="00571D32"/>
    <w:rsid w:val="0057232B"/>
    <w:rsid w:val="00572DC9"/>
    <w:rsid w:val="00573731"/>
    <w:rsid w:val="00573C40"/>
    <w:rsid w:val="005829EE"/>
    <w:rsid w:val="00583FA8"/>
    <w:rsid w:val="005842CA"/>
    <w:rsid w:val="0059018E"/>
    <w:rsid w:val="00591106"/>
    <w:rsid w:val="00594685"/>
    <w:rsid w:val="00597928"/>
    <w:rsid w:val="005A3BFF"/>
    <w:rsid w:val="005A6066"/>
    <w:rsid w:val="005A71C9"/>
    <w:rsid w:val="005B0246"/>
    <w:rsid w:val="005B235D"/>
    <w:rsid w:val="005B37C6"/>
    <w:rsid w:val="005B3D2E"/>
    <w:rsid w:val="005B4C9F"/>
    <w:rsid w:val="005B7C3E"/>
    <w:rsid w:val="005C1744"/>
    <w:rsid w:val="005C4416"/>
    <w:rsid w:val="005C5EB3"/>
    <w:rsid w:val="005C7929"/>
    <w:rsid w:val="005D0458"/>
    <w:rsid w:val="005D2488"/>
    <w:rsid w:val="005D3502"/>
    <w:rsid w:val="005D3C05"/>
    <w:rsid w:val="005D45E5"/>
    <w:rsid w:val="005D4998"/>
    <w:rsid w:val="005D5314"/>
    <w:rsid w:val="005D5D78"/>
    <w:rsid w:val="005E070B"/>
    <w:rsid w:val="005E0F16"/>
    <w:rsid w:val="005E13D7"/>
    <w:rsid w:val="005E4E7D"/>
    <w:rsid w:val="005E71AB"/>
    <w:rsid w:val="005E7854"/>
    <w:rsid w:val="005E7B91"/>
    <w:rsid w:val="005F3E20"/>
    <w:rsid w:val="005F7E5B"/>
    <w:rsid w:val="006017D2"/>
    <w:rsid w:val="00603258"/>
    <w:rsid w:val="006045D7"/>
    <w:rsid w:val="00605849"/>
    <w:rsid w:val="00607537"/>
    <w:rsid w:val="00607F9A"/>
    <w:rsid w:val="006105EE"/>
    <w:rsid w:val="00611CAC"/>
    <w:rsid w:val="00613906"/>
    <w:rsid w:val="00614943"/>
    <w:rsid w:val="00616753"/>
    <w:rsid w:val="00617D58"/>
    <w:rsid w:val="00620268"/>
    <w:rsid w:val="00621B43"/>
    <w:rsid w:val="00621FE0"/>
    <w:rsid w:val="0062201D"/>
    <w:rsid w:val="006223BB"/>
    <w:rsid w:val="0062303D"/>
    <w:rsid w:val="00623F1C"/>
    <w:rsid w:val="00624149"/>
    <w:rsid w:val="00624398"/>
    <w:rsid w:val="00626D47"/>
    <w:rsid w:val="006275AF"/>
    <w:rsid w:val="006312FA"/>
    <w:rsid w:val="00632A7B"/>
    <w:rsid w:val="006335F0"/>
    <w:rsid w:val="0063418D"/>
    <w:rsid w:val="00635325"/>
    <w:rsid w:val="00636CB6"/>
    <w:rsid w:val="0064019C"/>
    <w:rsid w:val="00640EAD"/>
    <w:rsid w:val="00641228"/>
    <w:rsid w:val="00641C32"/>
    <w:rsid w:val="006428A6"/>
    <w:rsid w:val="00643C99"/>
    <w:rsid w:val="00643FAC"/>
    <w:rsid w:val="006458BE"/>
    <w:rsid w:val="00646D84"/>
    <w:rsid w:val="0065012E"/>
    <w:rsid w:val="006501B2"/>
    <w:rsid w:val="006613B6"/>
    <w:rsid w:val="00662E59"/>
    <w:rsid w:val="00663B26"/>
    <w:rsid w:val="00664EE3"/>
    <w:rsid w:val="00666FB7"/>
    <w:rsid w:val="0066708A"/>
    <w:rsid w:val="006730A8"/>
    <w:rsid w:val="0067319D"/>
    <w:rsid w:val="00674748"/>
    <w:rsid w:val="006766AF"/>
    <w:rsid w:val="0068109D"/>
    <w:rsid w:val="00682B23"/>
    <w:rsid w:val="00684207"/>
    <w:rsid w:val="00684790"/>
    <w:rsid w:val="0068732D"/>
    <w:rsid w:val="006913B3"/>
    <w:rsid w:val="00691746"/>
    <w:rsid w:val="00692C4B"/>
    <w:rsid w:val="00692E67"/>
    <w:rsid w:val="00693DB7"/>
    <w:rsid w:val="006954E2"/>
    <w:rsid w:val="00695647"/>
    <w:rsid w:val="006956FB"/>
    <w:rsid w:val="00695915"/>
    <w:rsid w:val="00695CB5"/>
    <w:rsid w:val="006A12FD"/>
    <w:rsid w:val="006A5621"/>
    <w:rsid w:val="006B4898"/>
    <w:rsid w:val="006B5F45"/>
    <w:rsid w:val="006C00DE"/>
    <w:rsid w:val="006C07F4"/>
    <w:rsid w:val="006C20CE"/>
    <w:rsid w:val="006C20DD"/>
    <w:rsid w:val="006C6CFF"/>
    <w:rsid w:val="006D1B96"/>
    <w:rsid w:val="006D3465"/>
    <w:rsid w:val="006D5AE0"/>
    <w:rsid w:val="006D731B"/>
    <w:rsid w:val="006E0179"/>
    <w:rsid w:val="006E0B10"/>
    <w:rsid w:val="006E132A"/>
    <w:rsid w:val="006E2460"/>
    <w:rsid w:val="006E2AAB"/>
    <w:rsid w:val="006E504C"/>
    <w:rsid w:val="006F18AF"/>
    <w:rsid w:val="006F2CDD"/>
    <w:rsid w:val="006F3A5E"/>
    <w:rsid w:val="006F42CE"/>
    <w:rsid w:val="006F5B19"/>
    <w:rsid w:val="006F746C"/>
    <w:rsid w:val="00700253"/>
    <w:rsid w:val="00701FF7"/>
    <w:rsid w:val="00702922"/>
    <w:rsid w:val="00707F7F"/>
    <w:rsid w:val="0071037E"/>
    <w:rsid w:val="0071046C"/>
    <w:rsid w:val="00714402"/>
    <w:rsid w:val="007247DF"/>
    <w:rsid w:val="00724C58"/>
    <w:rsid w:val="00725B5C"/>
    <w:rsid w:val="00730506"/>
    <w:rsid w:val="00731067"/>
    <w:rsid w:val="00732EBC"/>
    <w:rsid w:val="00733B51"/>
    <w:rsid w:val="00734438"/>
    <w:rsid w:val="00734F24"/>
    <w:rsid w:val="00736E6A"/>
    <w:rsid w:val="00737748"/>
    <w:rsid w:val="00740343"/>
    <w:rsid w:val="00740E3B"/>
    <w:rsid w:val="00741703"/>
    <w:rsid w:val="0074182D"/>
    <w:rsid w:val="00743018"/>
    <w:rsid w:val="00747CCA"/>
    <w:rsid w:val="0075205F"/>
    <w:rsid w:val="007521CD"/>
    <w:rsid w:val="0075586E"/>
    <w:rsid w:val="007568B0"/>
    <w:rsid w:val="00760D97"/>
    <w:rsid w:val="007612C0"/>
    <w:rsid w:val="00761D6A"/>
    <w:rsid w:val="00762D0D"/>
    <w:rsid w:val="007648CA"/>
    <w:rsid w:val="00767BD6"/>
    <w:rsid w:val="00767C2F"/>
    <w:rsid w:val="00767EAA"/>
    <w:rsid w:val="00772D91"/>
    <w:rsid w:val="007733BC"/>
    <w:rsid w:val="00773B34"/>
    <w:rsid w:val="00773E0C"/>
    <w:rsid w:val="007753E4"/>
    <w:rsid w:val="00775855"/>
    <w:rsid w:val="00775E59"/>
    <w:rsid w:val="00777C22"/>
    <w:rsid w:val="007804D6"/>
    <w:rsid w:val="00781B3A"/>
    <w:rsid w:val="007826DA"/>
    <w:rsid w:val="00784750"/>
    <w:rsid w:val="00790253"/>
    <w:rsid w:val="00791168"/>
    <w:rsid w:val="00791C23"/>
    <w:rsid w:val="00791F7A"/>
    <w:rsid w:val="00792B40"/>
    <w:rsid w:val="007932BD"/>
    <w:rsid w:val="007936A6"/>
    <w:rsid w:val="00795730"/>
    <w:rsid w:val="00796B81"/>
    <w:rsid w:val="007975FA"/>
    <w:rsid w:val="007A0DDE"/>
    <w:rsid w:val="007A3A25"/>
    <w:rsid w:val="007B17C9"/>
    <w:rsid w:val="007B4FFD"/>
    <w:rsid w:val="007B7437"/>
    <w:rsid w:val="007B7CE6"/>
    <w:rsid w:val="007C12E9"/>
    <w:rsid w:val="007C3CBA"/>
    <w:rsid w:val="007C5F9B"/>
    <w:rsid w:val="007D14CE"/>
    <w:rsid w:val="007D2954"/>
    <w:rsid w:val="007D2CAB"/>
    <w:rsid w:val="007D3376"/>
    <w:rsid w:val="007D5679"/>
    <w:rsid w:val="007D63FA"/>
    <w:rsid w:val="007D7A0C"/>
    <w:rsid w:val="007E0B57"/>
    <w:rsid w:val="007E272C"/>
    <w:rsid w:val="007E76CB"/>
    <w:rsid w:val="007F3932"/>
    <w:rsid w:val="007F3DDE"/>
    <w:rsid w:val="007F47DB"/>
    <w:rsid w:val="007F48FA"/>
    <w:rsid w:val="007F56F4"/>
    <w:rsid w:val="007F5962"/>
    <w:rsid w:val="007F59CD"/>
    <w:rsid w:val="007F725F"/>
    <w:rsid w:val="00801695"/>
    <w:rsid w:val="00801A7F"/>
    <w:rsid w:val="0080225E"/>
    <w:rsid w:val="008038AC"/>
    <w:rsid w:val="00810F43"/>
    <w:rsid w:val="00813467"/>
    <w:rsid w:val="008139C5"/>
    <w:rsid w:val="008149B0"/>
    <w:rsid w:val="00815D88"/>
    <w:rsid w:val="008210DA"/>
    <w:rsid w:val="008244C0"/>
    <w:rsid w:val="00826344"/>
    <w:rsid w:val="00826C15"/>
    <w:rsid w:val="00827F55"/>
    <w:rsid w:val="0083055A"/>
    <w:rsid w:val="008307E7"/>
    <w:rsid w:val="00830B2A"/>
    <w:rsid w:val="0083191E"/>
    <w:rsid w:val="0083235E"/>
    <w:rsid w:val="00832A92"/>
    <w:rsid w:val="008360CB"/>
    <w:rsid w:val="00836CCB"/>
    <w:rsid w:val="0084006B"/>
    <w:rsid w:val="008414E4"/>
    <w:rsid w:val="00841BD5"/>
    <w:rsid w:val="00844E5B"/>
    <w:rsid w:val="008459C9"/>
    <w:rsid w:val="008505AB"/>
    <w:rsid w:val="0085480C"/>
    <w:rsid w:val="00854CF6"/>
    <w:rsid w:val="0085532D"/>
    <w:rsid w:val="00855736"/>
    <w:rsid w:val="0085735E"/>
    <w:rsid w:val="0086258B"/>
    <w:rsid w:val="00862785"/>
    <w:rsid w:val="00866028"/>
    <w:rsid w:val="00870AA5"/>
    <w:rsid w:val="00870D62"/>
    <w:rsid w:val="00874169"/>
    <w:rsid w:val="00874A35"/>
    <w:rsid w:val="008802F6"/>
    <w:rsid w:val="008804D0"/>
    <w:rsid w:val="0088110B"/>
    <w:rsid w:val="00883702"/>
    <w:rsid w:val="00885BD1"/>
    <w:rsid w:val="008917EF"/>
    <w:rsid w:val="00891E7E"/>
    <w:rsid w:val="008926E8"/>
    <w:rsid w:val="00894305"/>
    <w:rsid w:val="008958DE"/>
    <w:rsid w:val="008A072E"/>
    <w:rsid w:val="008A343C"/>
    <w:rsid w:val="008A434E"/>
    <w:rsid w:val="008A6DAA"/>
    <w:rsid w:val="008B036D"/>
    <w:rsid w:val="008B3B41"/>
    <w:rsid w:val="008C04E0"/>
    <w:rsid w:val="008C47A8"/>
    <w:rsid w:val="008C5EA9"/>
    <w:rsid w:val="008D056E"/>
    <w:rsid w:val="008D28F4"/>
    <w:rsid w:val="008D63EC"/>
    <w:rsid w:val="008D7DAC"/>
    <w:rsid w:val="008E1D13"/>
    <w:rsid w:val="008E3F1F"/>
    <w:rsid w:val="008F1624"/>
    <w:rsid w:val="008F2A3E"/>
    <w:rsid w:val="008F2E98"/>
    <w:rsid w:val="0090280D"/>
    <w:rsid w:val="009065B4"/>
    <w:rsid w:val="00911100"/>
    <w:rsid w:val="0091431A"/>
    <w:rsid w:val="00915EAF"/>
    <w:rsid w:val="00917353"/>
    <w:rsid w:val="00921861"/>
    <w:rsid w:val="00922D2F"/>
    <w:rsid w:val="00924B1A"/>
    <w:rsid w:val="00925A01"/>
    <w:rsid w:val="00930411"/>
    <w:rsid w:val="00931578"/>
    <w:rsid w:val="00931CCE"/>
    <w:rsid w:val="00935F6A"/>
    <w:rsid w:val="009369DA"/>
    <w:rsid w:val="00940100"/>
    <w:rsid w:val="009403FF"/>
    <w:rsid w:val="00941EB4"/>
    <w:rsid w:val="00945019"/>
    <w:rsid w:val="0094577C"/>
    <w:rsid w:val="00946077"/>
    <w:rsid w:val="00947275"/>
    <w:rsid w:val="009504AC"/>
    <w:rsid w:val="0095058D"/>
    <w:rsid w:val="0095261D"/>
    <w:rsid w:val="009545A9"/>
    <w:rsid w:val="00954F96"/>
    <w:rsid w:val="00955C90"/>
    <w:rsid w:val="00956B2B"/>
    <w:rsid w:val="009601FE"/>
    <w:rsid w:val="00961A2A"/>
    <w:rsid w:val="0096234C"/>
    <w:rsid w:val="00963DA9"/>
    <w:rsid w:val="00963F4E"/>
    <w:rsid w:val="00964DE8"/>
    <w:rsid w:val="00964F20"/>
    <w:rsid w:val="00966B2E"/>
    <w:rsid w:val="00966FA1"/>
    <w:rsid w:val="0096738F"/>
    <w:rsid w:val="00971B74"/>
    <w:rsid w:val="009766E7"/>
    <w:rsid w:val="00977CBD"/>
    <w:rsid w:val="00981A78"/>
    <w:rsid w:val="00982E8D"/>
    <w:rsid w:val="0098377C"/>
    <w:rsid w:val="00984A27"/>
    <w:rsid w:val="009937D4"/>
    <w:rsid w:val="00996CA8"/>
    <w:rsid w:val="009A2AC4"/>
    <w:rsid w:val="009A3616"/>
    <w:rsid w:val="009A4B5E"/>
    <w:rsid w:val="009A4E83"/>
    <w:rsid w:val="009A5875"/>
    <w:rsid w:val="009A61A2"/>
    <w:rsid w:val="009A711B"/>
    <w:rsid w:val="009B31D7"/>
    <w:rsid w:val="009B36B2"/>
    <w:rsid w:val="009B3B75"/>
    <w:rsid w:val="009B3CFD"/>
    <w:rsid w:val="009B3FB3"/>
    <w:rsid w:val="009B59B7"/>
    <w:rsid w:val="009B6004"/>
    <w:rsid w:val="009B6775"/>
    <w:rsid w:val="009B6C3B"/>
    <w:rsid w:val="009C115B"/>
    <w:rsid w:val="009C2AE2"/>
    <w:rsid w:val="009C2CDD"/>
    <w:rsid w:val="009C33C2"/>
    <w:rsid w:val="009D1FCE"/>
    <w:rsid w:val="009D2723"/>
    <w:rsid w:val="009D3339"/>
    <w:rsid w:val="009D5C00"/>
    <w:rsid w:val="009E029D"/>
    <w:rsid w:val="009E171E"/>
    <w:rsid w:val="009E3211"/>
    <w:rsid w:val="009E463E"/>
    <w:rsid w:val="009E4CC9"/>
    <w:rsid w:val="009E57C7"/>
    <w:rsid w:val="009E7BDB"/>
    <w:rsid w:val="009F031C"/>
    <w:rsid w:val="009F48AB"/>
    <w:rsid w:val="009F4A54"/>
    <w:rsid w:val="009F52D5"/>
    <w:rsid w:val="009F5AA6"/>
    <w:rsid w:val="009F5C3B"/>
    <w:rsid w:val="009F5D2C"/>
    <w:rsid w:val="009F6BC6"/>
    <w:rsid w:val="009F6DA4"/>
    <w:rsid w:val="00A06002"/>
    <w:rsid w:val="00A06ED8"/>
    <w:rsid w:val="00A07719"/>
    <w:rsid w:val="00A10787"/>
    <w:rsid w:val="00A11AE2"/>
    <w:rsid w:val="00A11D96"/>
    <w:rsid w:val="00A152F5"/>
    <w:rsid w:val="00A1729E"/>
    <w:rsid w:val="00A173A2"/>
    <w:rsid w:val="00A1781B"/>
    <w:rsid w:val="00A20508"/>
    <w:rsid w:val="00A23087"/>
    <w:rsid w:val="00A23DCB"/>
    <w:rsid w:val="00A40967"/>
    <w:rsid w:val="00A42F75"/>
    <w:rsid w:val="00A43FBE"/>
    <w:rsid w:val="00A47AE0"/>
    <w:rsid w:val="00A52805"/>
    <w:rsid w:val="00A544FC"/>
    <w:rsid w:val="00A64DB1"/>
    <w:rsid w:val="00A65207"/>
    <w:rsid w:val="00A665F0"/>
    <w:rsid w:val="00A67179"/>
    <w:rsid w:val="00A7051E"/>
    <w:rsid w:val="00A70E4E"/>
    <w:rsid w:val="00A71A1F"/>
    <w:rsid w:val="00A75E2C"/>
    <w:rsid w:val="00A77644"/>
    <w:rsid w:val="00A8020B"/>
    <w:rsid w:val="00A804E3"/>
    <w:rsid w:val="00A82B14"/>
    <w:rsid w:val="00A8508F"/>
    <w:rsid w:val="00A90F92"/>
    <w:rsid w:val="00A92C79"/>
    <w:rsid w:val="00A93A61"/>
    <w:rsid w:val="00A96C38"/>
    <w:rsid w:val="00AA05FE"/>
    <w:rsid w:val="00AA106A"/>
    <w:rsid w:val="00AA4328"/>
    <w:rsid w:val="00AB2F7E"/>
    <w:rsid w:val="00AB48E1"/>
    <w:rsid w:val="00AB6F34"/>
    <w:rsid w:val="00AB7214"/>
    <w:rsid w:val="00AC279C"/>
    <w:rsid w:val="00AC280B"/>
    <w:rsid w:val="00AC315E"/>
    <w:rsid w:val="00AC429D"/>
    <w:rsid w:val="00AC4A8D"/>
    <w:rsid w:val="00AC5968"/>
    <w:rsid w:val="00AC60A5"/>
    <w:rsid w:val="00AC72E2"/>
    <w:rsid w:val="00AD0B7C"/>
    <w:rsid w:val="00AD1B1E"/>
    <w:rsid w:val="00AD265C"/>
    <w:rsid w:val="00AD2F20"/>
    <w:rsid w:val="00AD4C8A"/>
    <w:rsid w:val="00AD7964"/>
    <w:rsid w:val="00AE0B7F"/>
    <w:rsid w:val="00AE0F04"/>
    <w:rsid w:val="00AE246A"/>
    <w:rsid w:val="00AE3760"/>
    <w:rsid w:val="00AE4F90"/>
    <w:rsid w:val="00AE5500"/>
    <w:rsid w:val="00AE5FBE"/>
    <w:rsid w:val="00AE715E"/>
    <w:rsid w:val="00AF2047"/>
    <w:rsid w:val="00AF34B0"/>
    <w:rsid w:val="00AF456C"/>
    <w:rsid w:val="00AF59C6"/>
    <w:rsid w:val="00B01AAA"/>
    <w:rsid w:val="00B03187"/>
    <w:rsid w:val="00B03AE7"/>
    <w:rsid w:val="00B072A6"/>
    <w:rsid w:val="00B10CF4"/>
    <w:rsid w:val="00B10F39"/>
    <w:rsid w:val="00B10FB7"/>
    <w:rsid w:val="00B15976"/>
    <w:rsid w:val="00B1775C"/>
    <w:rsid w:val="00B21AD2"/>
    <w:rsid w:val="00B21C91"/>
    <w:rsid w:val="00B22CE4"/>
    <w:rsid w:val="00B24ADD"/>
    <w:rsid w:val="00B24DCC"/>
    <w:rsid w:val="00B257F6"/>
    <w:rsid w:val="00B2726D"/>
    <w:rsid w:val="00B30A99"/>
    <w:rsid w:val="00B30B90"/>
    <w:rsid w:val="00B322CF"/>
    <w:rsid w:val="00B33FF3"/>
    <w:rsid w:val="00B34178"/>
    <w:rsid w:val="00B35344"/>
    <w:rsid w:val="00B37C66"/>
    <w:rsid w:val="00B40708"/>
    <w:rsid w:val="00B4149F"/>
    <w:rsid w:val="00B417E7"/>
    <w:rsid w:val="00B4198F"/>
    <w:rsid w:val="00B42A00"/>
    <w:rsid w:val="00B43DFF"/>
    <w:rsid w:val="00B4472C"/>
    <w:rsid w:val="00B46FFC"/>
    <w:rsid w:val="00B47903"/>
    <w:rsid w:val="00B5169F"/>
    <w:rsid w:val="00B5254F"/>
    <w:rsid w:val="00B54477"/>
    <w:rsid w:val="00B5473B"/>
    <w:rsid w:val="00B55680"/>
    <w:rsid w:val="00B562DE"/>
    <w:rsid w:val="00B56857"/>
    <w:rsid w:val="00B60667"/>
    <w:rsid w:val="00B62813"/>
    <w:rsid w:val="00B63EC0"/>
    <w:rsid w:val="00B64772"/>
    <w:rsid w:val="00B64954"/>
    <w:rsid w:val="00B67C3A"/>
    <w:rsid w:val="00B67EB1"/>
    <w:rsid w:val="00B704E7"/>
    <w:rsid w:val="00B718FD"/>
    <w:rsid w:val="00B752E5"/>
    <w:rsid w:val="00B755CD"/>
    <w:rsid w:val="00B81FB4"/>
    <w:rsid w:val="00B82AC2"/>
    <w:rsid w:val="00B87054"/>
    <w:rsid w:val="00B90F52"/>
    <w:rsid w:val="00B92AD4"/>
    <w:rsid w:val="00B934FA"/>
    <w:rsid w:val="00B93531"/>
    <w:rsid w:val="00B9394B"/>
    <w:rsid w:val="00B95798"/>
    <w:rsid w:val="00B97AC7"/>
    <w:rsid w:val="00BA2865"/>
    <w:rsid w:val="00BA3300"/>
    <w:rsid w:val="00BA39E8"/>
    <w:rsid w:val="00BA6239"/>
    <w:rsid w:val="00BB369C"/>
    <w:rsid w:val="00BB4465"/>
    <w:rsid w:val="00BB7B4B"/>
    <w:rsid w:val="00BC24B4"/>
    <w:rsid w:val="00BC3B05"/>
    <w:rsid w:val="00BC4E4C"/>
    <w:rsid w:val="00BC59DE"/>
    <w:rsid w:val="00BC62A3"/>
    <w:rsid w:val="00BC670B"/>
    <w:rsid w:val="00BC7228"/>
    <w:rsid w:val="00BD09EB"/>
    <w:rsid w:val="00BD15F5"/>
    <w:rsid w:val="00BD3E85"/>
    <w:rsid w:val="00BE0190"/>
    <w:rsid w:val="00BE0262"/>
    <w:rsid w:val="00BE33DA"/>
    <w:rsid w:val="00BE3F60"/>
    <w:rsid w:val="00BE6B26"/>
    <w:rsid w:val="00BF0AFB"/>
    <w:rsid w:val="00BF14E5"/>
    <w:rsid w:val="00BF190E"/>
    <w:rsid w:val="00BF6071"/>
    <w:rsid w:val="00BF6A4A"/>
    <w:rsid w:val="00BF6FD8"/>
    <w:rsid w:val="00BF782F"/>
    <w:rsid w:val="00C01166"/>
    <w:rsid w:val="00C113A1"/>
    <w:rsid w:val="00C1190B"/>
    <w:rsid w:val="00C145AB"/>
    <w:rsid w:val="00C21EC6"/>
    <w:rsid w:val="00C250E8"/>
    <w:rsid w:val="00C3079F"/>
    <w:rsid w:val="00C324A3"/>
    <w:rsid w:val="00C339C2"/>
    <w:rsid w:val="00C35354"/>
    <w:rsid w:val="00C36306"/>
    <w:rsid w:val="00C41929"/>
    <w:rsid w:val="00C4234B"/>
    <w:rsid w:val="00C43696"/>
    <w:rsid w:val="00C444A2"/>
    <w:rsid w:val="00C4648F"/>
    <w:rsid w:val="00C47288"/>
    <w:rsid w:val="00C47353"/>
    <w:rsid w:val="00C47B92"/>
    <w:rsid w:val="00C5012C"/>
    <w:rsid w:val="00C50508"/>
    <w:rsid w:val="00C52191"/>
    <w:rsid w:val="00C52835"/>
    <w:rsid w:val="00C53AE2"/>
    <w:rsid w:val="00C53F59"/>
    <w:rsid w:val="00C5722B"/>
    <w:rsid w:val="00C6142A"/>
    <w:rsid w:val="00C61B15"/>
    <w:rsid w:val="00C623D5"/>
    <w:rsid w:val="00C62A56"/>
    <w:rsid w:val="00C62C9A"/>
    <w:rsid w:val="00C63637"/>
    <w:rsid w:val="00C63D78"/>
    <w:rsid w:val="00C70D8D"/>
    <w:rsid w:val="00C738FD"/>
    <w:rsid w:val="00C74858"/>
    <w:rsid w:val="00C75109"/>
    <w:rsid w:val="00C75D02"/>
    <w:rsid w:val="00C765DD"/>
    <w:rsid w:val="00C81200"/>
    <w:rsid w:val="00C82075"/>
    <w:rsid w:val="00C854A4"/>
    <w:rsid w:val="00C8691E"/>
    <w:rsid w:val="00C91E3A"/>
    <w:rsid w:val="00C927C7"/>
    <w:rsid w:val="00C94FA3"/>
    <w:rsid w:val="00CA3CED"/>
    <w:rsid w:val="00CA4A58"/>
    <w:rsid w:val="00CB1558"/>
    <w:rsid w:val="00CB26C4"/>
    <w:rsid w:val="00CB410C"/>
    <w:rsid w:val="00CB5984"/>
    <w:rsid w:val="00CB6167"/>
    <w:rsid w:val="00CB6D4B"/>
    <w:rsid w:val="00CC05A3"/>
    <w:rsid w:val="00CC0AA0"/>
    <w:rsid w:val="00CC33E8"/>
    <w:rsid w:val="00CC73BC"/>
    <w:rsid w:val="00CD0138"/>
    <w:rsid w:val="00CD0C79"/>
    <w:rsid w:val="00CD248D"/>
    <w:rsid w:val="00CD3068"/>
    <w:rsid w:val="00CD3491"/>
    <w:rsid w:val="00CD3B8C"/>
    <w:rsid w:val="00CD61CB"/>
    <w:rsid w:val="00CE1D37"/>
    <w:rsid w:val="00CE27D2"/>
    <w:rsid w:val="00CE2951"/>
    <w:rsid w:val="00CE3872"/>
    <w:rsid w:val="00CE6E3C"/>
    <w:rsid w:val="00CE7409"/>
    <w:rsid w:val="00CF0E58"/>
    <w:rsid w:val="00CF2EC5"/>
    <w:rsid w:val="00CF2F49"/>
    <w:rsid w:val="00CF62DA"/>
    <w:rsid w:val="00D021AB"/>
    <w:rsid w:val="00D03321"/>
    <w:rsid w:val="00D03D46"/>
    <w:rsid w:val="00D1169A"/>
    <w:rsid w:val="00D1228B"/>
    <w:rsid w:val="00D14276"/>
    <w:rsid w:val="00D161CE"/>
    <w:rsid w:val="00D1667B"/>
    <w:rsid w:val="00D21A4B"/>
    <w:rsid w:val="00D22761"/>
    <w:rsid w:val="00D27D83"/>
    <w:rsid w:val="00D3036A"/>
    <w:rsid w:val="00D30775"/>
    <w:rsid w:val="00D30B27"/>
    <w:rsid w:val="00D3140E"/>
    <w:rsid w:val="00D326BB"/>
    <w:rsid w:val="00D34259"/>
    <w:rsid w:val="00D3429B"/>
    <w:rsid w:val="00D4053E"/>
    <w:rsid w:val="00D413B6"/>
    <w:rsid w:val="00D41983"/>
    <w:rsid w:val="00D4454F"/>
    <w:rsid w:val="00D5005F"/>
    <w:rsid w:val="00D54939"/>
    <w:rsid w:val="00D5640D"/>
    <w:rsid w:val="00D568B8"/>
    <w:rsid w:val="00D56CCD"/>
    <w:rsid w:val="00D60713"/>
    <w:rsid w:val="00D61436"/>
    <w:rsid w:val="00D61DCD"/>
    <w:rsid w:val="00D6317D"/>
    <w:rsid w:val="00D65F9A"/>
    <w:rsid w:val="00D673A0"/>
    <w:rsid w:val="00D725A0"/>
    <w:rsid w:val="00D72901"/>
    <w:rsid w:val="00D73393"/>
    <w:rsid w:val="00D744FF"/>
    <w:rsid w:val="00D75B79"/>
    <w:rsid w:val="00D77B47"/>
    <w:rsid w:val="00D802A2"/>
    <w:rsid w:val="00D8473A"/>
    <w:rsid w:val="00D87B03"/>
    <w:rsid w:val="00D91B55"/>
    <w:rsid w:val="00D91E6B"/>
    <w:rsid w:val="00D94C82"/>
    <w:rsid w:val="00D95035"/>
    <w:rsid w:val="00D959C4"/>
    <w:rsid w:val="00D95ECA"/>
    <w:rsid w:val="00D96DC5"/>
    <w:rsid w:val="00DA3F84"/>
    <w:rsid w:val="00DA6EF3"/>
    <w:rsid w:val="00DB068A"/>
    <w:rsid w:val="00DB23E1"/>
    <w:rsid w:val="00DB4508"/>
    <w:rsid w:val="00DB4A7D"/>
    <w:rsid w:val="00DB7EA1"/>
    <w:rsid w:val="00DB7FEE"/>
    <w:rsid w:val="00DC1C23"/>
    <w:rsid w:val="00DC1D54"/>
    <w:rsid w:val="00DC2B75"/>
    <w:rsid w:val="00DC2CBE"/>
    <w:rsid w:val="00DC30C1"/>
    <w:rsid w:val="00DC47B6"/>
    <w:rsid w:val="00DC66E4"/>
    <w:rsid w:val="00DC7AA3"/>
    <w:rsid w:val="00DD0830"/>
    <w:rsid w:val="00DD1440"/>
    <w:rsid w:val="00DD300E"/>
    <w:rsid w:val="00DD350F"/>
    <w:rsid w:val="00DD4431"/>
    <w:rsid w:val="00DE33FD"/>
    <w:rsid w:val="00DE74FC"/>
    <w:rsid w:val="00DF1F86"/>
    <w:rsid w:val="00DF3174"/>
    <w:rsid w:val="00DF5418"/>
    <w:rsid w:val="00DF589A"/>
    <w:rsid w:val="00DF5B06"/>
    <w:rsid w:val="00DF7B34"/>
    <w:rsid w:val="00E00BD4"/>
    <w:rsid w:val="00E00C9A"/>
    <w:rsid w:val="00E00DDB"/>
    <w:rsid w:val="00E0134E"/>
    <w:rsid w:val="00E03F0F"/>
    <w:rsid w:val="00E04571"/>
    <w:rsid w:val="00E0644D"/>
    <w:rsid w:val="00E06DB4"/>
    <w:rsid w:val="00E07604"/>
    <w:rsid w:val="00E10B86"/>
    <w:rsid w:val="00E11F70"/>
    <w:rsid w:val="00E1488F"/>
    <w:rsid w:val="00E15842"/>
    <w:rsid w:val="00E21B0A"/>
    <w:rsid w:val="00E21D24"/>
    <w:rsid w:val="00E2332B"/>
    <w:rsid w:val="00E2444D"/>
    <w:rsid w:val="00E25684"/>
    <w:rsid w:val="00E25B03"/>
    <w:rsid w:val="00E3443F"/>
    <w:rsid w:val="00E34982"/>
    <w:rsid w:val="00E34A2B"/>
    <w:rsid w:val="00E34E1B"/>
    <w:rsid w:val="00E36BB9"/>
    <w:rsid w:val="00E44308"/>
    <w:rsid w:val="00E453B7"/>
    <w:rsid w:val="00E45E47"/>
    <w:rsid w:val="00E500C9"/>
    <w:rsid w:val="00E50C31"/>
    <w:rsid w:val="00E55431"/>
    <w:rsid w:val="00E56C1B"/>
    <w:rsid w:val="00E5720E"/>
    <w:rsid w:val="00E57E02"/>
    <w:rsid w:val="00E62183"/>
    <w:rsid w:val="00E6237D"/>
    <w:rsid w:val="00E63A4C"/>
    <w:rsid w:val="00E64E9C"/>
    <w:rsid w:val="00E74B28"/>
    <w:rsid w:val="00E75A9D"/>
    <w:rsid w:val="00E8176B"/>
    <w:rsid w:val="00E84317"/>
    <w:rsid w:val="00E84D37"/>
    <w:rsid w:val="00E84E8D"/>
    <w:rsid w:val="00E85201"/>
    <w:rsid w:val="00E85D6F"/>
    <w:rsid w:val="00E867D0"/>
    <w:rsid w:val="00E91872"/>
    <w:rsid w:val="00E93221"/>
    <w:rsid w:val="00E9362D"/>
    <w:rsid w:val="00E937B5"/>
    <w:rsid w:val="00E9599F"/>
    <w:rsid w:val="00E966AA"/>
    <w:rsid w:val="00E96DC8"/>
    <w:rsid w:val="00E974F2"/>
    <w:rsid w:val="00EA3AB5"/>
    <w:rsid w:val="00EA3E7B"/>
    <w:rsid w:val="00EA44D3"/>
    <w:rsid w:val="00EA5144"/>
    <w:rsid w:val="00EA5898"/>
    <w:rsid w:val="00EA77BE"/>
    <w:rsid w:val="00EB17D2"/>
    <w:rsid w:val="00EB1C59"/>
    <w:rsid w:val="00EB2C67"/>
    <w:rsid w:val="00EB3258"/>
    <w:rsid w:val="00EB39FF"/>
    <w:rsid w:val="00EC2036"/>
    <w:rsid w:val="00EC2ADC"/>
    <w:rsid w:val="00EC77DE"/>
    <w:rsid w:val="00ED13A3"/>
    <w:rsid w:val="00ED23E0"/>
    <w:rsid w:val="00ED54EA"/>
    <w:rsid w:val="00ED6BFF"/>
    <w:rsid w:val="00EE212D"/>
    <w:rsid w:val="00EE2A4A"/>
    <w:rsid w:val="00EE32F9"/>
    <w:rsid w:val="00EE605A"/>
    <w:rsid w:val="00EF2984"/>
    <w:rsid w:val="00EF33EC"/>
    <w:rsid w:val="00EF35C3"/>
    <w:rsid w:val="00EF43CF"/>
    <w:rsid w:val="00EF56F3"/>
    <w:rsid w:val="00EF6BED"/>
    <w:rsid w:val="00EF6D5B"/>
    <w:rsid w:val="00EF6F09"/>
    <w:rsid w:val="00EF710B"/>
    <w:rsid w:val="00EF72DA"/>
    <w:rsid w:val="00EF75B8"/>
    <w:rsid w:val="00F00188"/>
    <w:rsid w:val="00F018E5"/>
    <w:rsid w:val="00F108EF"/>
    <w:rsid w:val="00F14E34"/>
    <w:rsid w:val="00F20DE0"/>
    <w:rsid w:val="00F23BC9"/>
    <w:rsid w:val="00F26578"/>
    <w:rsid w:val="00F32E19"/>
    <w:rsid w:val="00F331CE"/>
    <w:rsid w:val="00F36A41"/>
    <w:rsid w:val="00F4126A"/>
    <w:rsid w:val="00F42E5F"/>
    <w:rsid w:val="00F45376"/>
    <w:rsid w:val="00F4735F"/>
    <w:rsid w:val="00F4745B"/>
    <w:rsid w:val="00F5065F"/>
    <w:rsid w:val="00F509DE"/>
    <w:rsid w:val="00F5253F"/>
    <w:rsid w:val="00F538F7"/>
    <w:rsid w:val="00F55659"/>
    <w:rsid w:val="00F55B08"/>
    <w:rsid w:val="00F56E27"/>
    <w:rsid w:val="00F602A2"/>
    <w:rsid w:val="00F6108A"/>
    <w:rsid w:val="00F63432"/>
    <w:rsid w:val="00F64EEF"/>
    <w:rsid w:val="00F65CAF"/>
    <w:rsid w:val="00F670BF"/>
    <w:rsid w:val="00F67693"/>
    <w:rsid w:val="00F702E0"/>
    <w:rsid w:val="00F71283"/>
    <w:rsid w:val="00F7128E"/>
    <w:rsid w:val="00F71ED7"/>
    <w:rsid w:val="00F723E5"/>
    <w:rsid w:val="00F7578B"/>
    <w:rsid w:val="00F77D9E"/>
    <w:rsid w:val="00F8328B"/>
    <w:rsid w:val="00F87D81"/>
    <w:rsid w:val="00F9317A"/>
    <w:rsid w:val="00F93442"/>
    <w:rsid w:val="00F93F79"/>
    <w:rsid w:val="00F97A82"/>
    <w:rsid w:val="00FA1660"/>
    <w:rsid w:val="00FA1B45"/>
    <w:rsid w:val="00FA2847"/>
    <w:rsid w:val="00FA38AF"/>
    <w:rsid w:val="00FA4A68"/>
    <w:rsid w:val="00FB11B7"/>
    <w:rsid w:val="00FB12A4"/>
    <w:rsid w:val="00FB20B5"/>
    <w:rsid w:val="00FB5B94"/>
    <w:rsid w:val="00FB6699"/>
    <w:rsid w:val="00FB6872"/>
    <w:rsid w:val="00FC1E7A"/>
    <w:rsid w:val="00FC3105"/>
    <w:rsid w:val="00FC31F9"/>
    <w:rsid w:val="00FC3E2C"/>
    <w:rsid w:val="00FC46B0"/>
    <w:rsid w:val="00FC5438"/>
    <w:rsid w:val="00FC6EA3"/>
    <w:rsid w:val="00FC7E6A"/>
    <w:rsid w:val="00FD05F4"/>
    <w:rsid w:val="00FD0A10"/>
    <w:rsid w:val="00FD5242"/>
    <w:rsid w:val="00FD620F"/>
    <w:rsid w:val="00FD62CB"/>
    <w:rsid w:val="00FD7E61"/>
    <w:rsid w:val="00FE0FA1"/>
    <w:rsid w:val="00FE1DC2"/>
    <w:rsid w:val="00FE38C3"/>
    <w:rsid w:val="00FE39CA"/>
    <w:rsid w:val="00FE66F1"/>
    <w:rsid w:val="00FE765A"/>
    <w:rsid w:val="00FF15AC"/>
    <w:rsid w:val="00FF46D8"/>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A878"/>
  <w15:docId w15:val="{5F12EDBD-CD77-4C72-9138-9C843A30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84"/>
    <w:pPr>
      <w:jc w:val="both"/>
    </w:pPr>
    <w:rPr>
      <w:rFonts w:ascii="Arial" w:hAnsi="Arial"/>
      <w:lang w:val="sq-AL"/>
    </w:rPr>
  </w:style>
  <w:style w:type="paragraph" w:styleId="Heading1">
    <w:name w:val="heading 1"/>
    <w:basedOn w:val="Normal"/>
    <w:next w:val="Normal"/>
    <w:link w:val="Heading1Char"/>
    <w:uiPriority w:val="9"/>
    <w:qFormat/>
    <w:rsid w:val="00C52835"/>
    <w:pPr>
      <w:keepNext/>
      <w:keepLines/>
      <w:pBdr>
        <w:bottom w:val="single" w:sz="4" w:space="1" w:color="auto"/>
      </w:pBdr>
      <w:spacing w:before="240"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964DE8"/>
    <w:pPr>
      <w:keepNext/>
      <w:keepLines/>
      <w:pageBreakBefore/>
      <w:shd w:val="clear" w:color="auto" w:fill="FFFFFF" w:themeFill="background1"/>
      <w:spacing w:before="480" w:after="240"/>
      <w:outlineLvl w:val="1"/>
    </w:pPr>
    <w:rPr>
      <w:rFonts w:eastAsiaTheme="majorEastAsia" w:cstheme="majorBidi"/>
      <w:b/>
      <w:color w:val="1F4E79" w:themeColor="accent5" w:themeShade="80"/>
      <w:sz w:val="26"/>
      <w:szCs w:val="26"/>
    </w:rPr>
  </w:style>
  <w:style w:type="paragraph" w:styleId="Heading3">
    <w:name w:val="heading 3"/>
    <w:basedOn w:val="Normal"/>
    <w:next w:val="Normal"/>
    <w:link w:val="Heading3Char"/>
    <w:uiPriority w:val="9"/>
    <w:unhideWhenUsed/>
    <w:qFormat/>
    <w:rsid w:val="00092030"/>
    <w:pPr>
      <w:keepNext/>
      <w:keepLines/>
      <w:spacing w:before="480" w:after="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874169"/>
    <w:pPr>
      <w:keepNext/>
      <w:keepLines/>
      <w:spacing w:before="480" w:after="120"/>
      <w:outlineLvl w:val="3"/>
    </w:pPr>
    <w:rPr>
      <w:rFonts w:eastAsiaTheme="majorEastAsia" w:cstheme="majorBidi"/>
      <w:b/>
      <w:i/>
      <w:iCs/>
      <w:smallCaps/>
      <w:color w:val="1F3864" w:themeColor="accent1" w:themeShade="80"/>
      <w:sz w:val="26"/>
    </w:rPr>
  </w:style>
  <w:style w:type="paragraph" w:styleId="Heading5">
    <w:name w:val="heading 5"/>
    <w:basedOn w:val="Normal"/>
    <w:next w:val="Normal"/>
    <w:link w:val="Heading5Char"/>
    <w:uiPriority w:val="9"/>
    <w:unhideWhenUsed/>
    <w:qFormat/>
    <w:rsid w:val="008E1D13"/>
    <w:pPr>
      <w:keepNext/>
      <w:keepLines/>
      <w:spacing w:before="360" w:after="200"/>
      <w:outlineLvl w:val="4"/>
    </w:pPr>
    <w:rPr>
      <w:rFonts w:eastAsiaTheme="majorEastAsia" w:cstheme="majorBidi"/>
      <w:b/>
      <w:i/>
      <w:sz w:val="24"/>
    </w:rPr>
  </w:style>
  <w:style w:type="paragraph" w:styleId="Heading6">
    <w:name w:val="heading 6"/>
    <w:basedOn w:val="Normal"/>
    <w:next w:val="Normal"/>
    <w:link w:val="Heading6Char"/>
    <w:uiPriority w:val="9"/>
    <w:unhideWhenUsed/>
    <w:qFormat/>
    <w:rsid w:val="001A356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Subtitle Cover Page"/>
    <w:basedOn w:val="Normal"/>
    <w:link w:val="ListParagraphChar"/>
    <w:uiPriority w:val="34"/>
    <w:qFormat/>
    <w:rsid w:val="00146D6A"/>
    <w:pPr>
      <w:spacing w:before="240"/>
      <w:ind w:left="720"/>
      <w:contextualSpacing/>
    </w:pPr>
    <w:rPr>
      <w:rFonts w:eastAsia="Calibri" w:cs="Arial"/>
    </w:rPr>
  </w:style>
  <w:style w:type="table" w:styleId="TableGrid">
    <w:name w:val="Table Grid"/>
    <w:basedOn w:val="TableNormal"/>
    <w:uiPriority w:val="39"/>
    <w:rsid w:val="0014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2835"/>
    <w:rPr>
      <w:rFonts w:ascii="Arial" w:eastAsia="Times New Roman" w:hAnsi="Arial" w:cs="Arial"/>
      <w:b/>
      <w:sz w:val="24"/>
      <w:szCs w:val="24"/>
    </w:rPr>
  </w:style>
  <w:style w:type="paragraph" w:styleId="Header">
    <w:name w:val="header"/>
    <w:basedOn w:val="Normal"/>
    <w:link w:val="HeaderChar"/>
    <w:uiPriority w:val="99"/>
    <w:unhideWhenUsed/>
    <w:rsid w:val="00CD3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068"/>
  </w:style>
  <w:style w:type="paragraph" w:styleId="Footer">
    <w:name w:val="footer"/>
    <w:basedOn w:val="Normal"/>
    <w:link w:val="FooterChar"/>
    <w:uiPriority w:val="99"/>
    <w:unhideWhenUsed/>
    <w:qFormat/>
    <w:rsid w:val="00CD3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068"/>
  </w:style>
  <w:style w:type="paragraph" w:customStyle="1" w:styleId="Tableofcontents">
    <w:name w:val="Table of contents"/>
    <w:basedOn w:val="Normal"/>
    <w:qFormat/>
    <w:rsid w:val="00B10F39"/>
    <w:pPr>
      <w:keepNext/>
      <w:keepLines/>
      <w:framePr w:wrap="notBeside" w:vAnchor="text" w:hAnchor="text" w:y="1"/>
      <w:spacing w:before="600" w:after="240"/>
    </w:pPr>
    <w:rPr>
      <w:b/>
    </w:rPr>
  </w:style>
  <w:style w:type="character" w:customStyle="1" w:styleId="Heading2Char">
    <w:name w:val="Heading 2 Char"/>
    <w:basedOn w:val="DefaultParagraphFont"/>
    <w:link w:val="Heading2"/>
    <w:uiPriority w:val="9"/>
    <w:rsid w:val="00964DE8"/>
    <w:rPr>
      <w:rFonts w:ascii="Arial" w:eastAsiaTheme="majorEastAsia" w:hAnsi="Arial" w:cstheme="majorBidi"/>
      <w:b/>
      <w:color w:val="1F4E79" w:themeColor="accent5" w:themeShade="80"/>
      <w:sz w:val="26"/>
      <w:szCs w:val="26"/>
      <w:shd w:val="clear" w:color="auto" w:fill="FFFFFF" w:themeFill="background1"/>
    </w:rPr>
  </w:style>
  <w:style w:type="character" w:customStyle="1" w:styleId="Bodytext">
    <w:name w:val="Body text_"/>
    <w:link w:val="Bodytext1"/>
    <w:uiPriority w:val="99"/>
    <w:locked/>
    <w:rsid w:val="00B56857"/>
    <w:rPr>
      <w:rFonts w:ascii="Arial" w:hAnsi="Arial" w:cs="Arial"/>
      <w:sz w:val="19"/>
      <w:szCs w:val="19"/>
      <w:shd w:val="clear" w:color="auto" w:fill="FFFFFF"/>
    </w:rPr>
  </w:style>
  <w:style w:type="paragraph" w:customStyle="1" w:styleId="Bodytext1">
    <w:name w:val="Body text1"/>
    <w:basedOn w:val="Normal"/>
    <w:link w:val="Bodytext"/>
    <w:uiPriority w:val="99"/>
    <w:rsid w:val="00B56857"/>
    <w:pPr>
      <w:shd w:val="clear" w:color="auto" w:fill="FFFFFF"/>
      <w:spacing w:after="300" w:line="590" w:lineRule="exact"/>
    </w:pPr>
    <w:rPr>
      <w:rFonts w:cs="Arial"/>
      <w:sz w:val="19"/>
      <w:szCs w:val="19"/>
    </w:rPr>
  </w:style>
  <w:style w:type="character" w:customStyle="1" w:styleId="Bodytext25">
    <w:name w:val="Body text25"/>
    <w:uiPriority w:val="99"/>
    <w:rsid w:val="00B56857"/>
    <w:rPr>
      <w:rFonts w:ascii="Arial" w:hAnsi="Arial" w:cs="Arial"/>
      <w:spacing w:val="0"/>
      <w:sz w:val="19"/>
      <w:szCs w:val="19"/>
      <w:shd w:val="clear" w:color="auto" w:fill="FFFFFF"/>
    </w:rPr>
  </w:style>
  <w:style w:type="character" w:customStyle="1" w:styleId="Bodytext24">
    <w:name w:val="Body text24"/>
    <w:uiPriority w:val="99"/>
    <w:rsid w:val="00B56857"/>
    <w:rPr>
      <w:rFonts w:ascii="Arial" w:hAnsi="Arial" w:cs="Arial"/>
      <w:spacing w:val="0"/>
      <w:sz w:val="19"/>
      <w:szCs w:val="19"/>
      <w:shd w:val="clear" w:color="auto" w:fill="FFFFFF"/>
    </w:rPr>
  </w:style>
  <w:style w:type="paragraph" w:customStyle="1" w:styleId="Default">
    <w:name w:val="Default"/>
    <w:rsid w:val="00B5685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NormalIndent1">
    <w:name w:val="Normal Indent1"/>
    <w:basedOn w:val="Normal"/>
    <w:qFormat/>
    <w:rsid w:val="007F56F4"/>
    <w:pPr>
      <w:ind w:left="714"/>
    </w:pPr>
    <w:rPr>
      <w:rFonts w:eastAsiaTheme="minorHAnsi"/>
      <w:kern w:val="2"/>
    </w:rPr>
  </w:style>
  <w:style w:type="character" w:customStyle="1" w:styleId="Bodytext26">
    <w:name w:val="Body text26"/>
    <w:uiPriority w:val="99"/>
    <w:rsid w:val="00B56857"/>
    <w:rPr>
      <w:rFonts w:ascii="Arial" w:hAnsi="Arial" w:cs="Arial"/>
      <w:spacing w:val="0"/>
      <w:sz w:val="19"/>
      <w:szCs w:val="19"/>
      <w:shd w:val="clear" w:color="auto" w:fill="FFFFFF"/>
    </w:rPr>
  </w:style>
  <w:style w:type="character" w:customStyle="1" w:styleId="Heading3Char">
    <w:name w:val="Heading 3 Char"/>
    <w:basedOn w:val="DefaultParagraphFont"/>
    <w:link w:val="Heading3"/>
    <w:uiPriority w:val="9"/>
    <w:rsid w:val="00092030"/>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874169"/>
    <w:rPr>
      <w:rFonts w:ascii="Arial" w:eastAsiaTheme="majorEastAsia" w:hAnsi="Arial" w:cstheme="majorBidi"/>
      <w:b/>
      <w:i/>
      <w:iCs/>
      <w:smallCaps/>
      <w:color w:val="1F3864" w:themeColor="accent1" w:themeShade="80"/>
      <w:sz w:val="26"/>
    </w:rPr>
  </w:style>
  <w:style w:type="paragraph" w:styleId="TOC1">
    <w:name w:val="toc 1"/>
    <w:basedOn w:val="Normal"/>
    <w:next w:val="Normal"/>
    <w:autoRedefine/>
    <w:uiPriority w:val="39"/>
    <w:unhideWhenUsed/>
    <w:rsid w:val="00C81200"/>
    <w:pPr>
      <w:spacing w:after="100"/>
    </w:pPr>
  </w:style>
  <w:style w:type="character" w:styleId="Hyperlink">
    <w:name w:val="Hyperlink"/>
    <w:basedOn w:val="DefaultParagraphFont"/>
    <w:uiPriority w:val="99"/>
    <w:unhideWhenUsed/>
    <w:rsid w:val="00C81200"/>
    <w:rPr>
      <w:color w:val="0563C1" w:themeColor="hyperlink"/>
      <w:u w:val="single"/>
    </w:rPr>
  </w:style>
  <w:style w:type="paragraph" w:styleId="TOC2">
    <w:name w:val="toc 2"/>
    <w:basedOn w:val="Normal"/>
    <w:next w:val="Normal"/>
    <w:autoRedefine/>
    <w:uiPriority w:val="39"/>
    <w:unhideWhenUsed/>
    <w:rsid w:val="007D3376"/>
    <w:pPr>
      <w:spacing w:after="100"/>
      <w:ind w:left="240"/>
    </w:pPr>
  </w:style>
  <w:style w:type="paragraph" w:styleId="TOC3">
    <w:name w:val="toc 3"/>
    <w:basedOn w:val="Normal"/>
    <w:next w:val="Normal"/>
    <w:autoRedefine/>
    <w:uiPriority w:val="39"/>
    <w:unhideWhenUsed/>
    <w:rsid w:val="007D3376"/>
    <w:pPr>
      <w:spacing w:after="100"/>
      <w:ind w:left="480"/>
    </w:pPr>
  </w:style>
  <w:style w:type="paragraph" w:customStyle="1" w:styleId="Tabletext">
    <w:name w:val="Table text"/>
    <w:basedOn w:val="Normal"/>
    <w:qFormat/>
    <w:rsid w:val="00CB5984"/>
    <w:pPr>
      <w:spacing w:before="40" w:after="40" w:line="240" w:lineRule="auto"/>
    </w:pPr>
    <w:rPr>
      <w:rFonts w:cs="Arial"/>
      <w:szCs w:val="20"/>
    </w:rPr>
  </w:style>
  <w:style w:type="paragraph" w:customStyle="1" w:styleId="Tabletitle">
    <w:name w:val="Table title"/>
    <w:basedOn w:val="Normal"/>
    <w:qFormat/>
    <w:rsid w:val="00F71ED7"/>
    <w:pPr>
      <w:spacing w:before="240" w:after="120"/>
      <w:jc w:val="center"/>
    </w:pPr>
    <w:rPr>
      <w:szCs w:val="20"/>
      <w:lang w:eastAsia="sq-AL"/>
    </w:rPr>
  </w:style>
  <w:style w:type="paragraph" w:customStyle="1" w:styleId="Bullets1">
    <w:name w:val="Bullets 1"/>
    <w:basedOn w:val="ListParagraph"/>
    <w:qFormat/>
    <w:rsid w:val="0074182D"/>
    <w:pPr>
      <w:numPr>
        <w:numId w:val="1"/>
      </w:numPr>
      <w:spacing w:before="0" w:after="120"/>
      <w:ind w:left="714" w:hanging="357"/>
      <w:contextualSpacing w:val="0"/>
    </w:pPr>
    <w:rPr>
      <w:lang w:eastAsia="hr-HR"/>
    </w:rPr>
  </w:style>
  <w:style w:type="paragraph" w:styleId="NormalWeb">
    <w:name w:val="Normal (Web)"/>
    <w:basedOn w:val="Normal"/>
    <w:uiPriority w:val="99"/>
    <w:unhideWhenUsed/>
    <w:rsid w:val="00AD7964"/>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67C2F"/>
    <w:rPr>
      <w:b/>
      <w:bCs/>
    </w:rPr>
  </w:style>
  <w:style w:type="character" w:customStyle="1" w:styleId="Heading5Char">
    <w:name w:val="Heading 5 Char"/>
    <w:basedOn w:val="DefaultParagraphFont"/>
    <w:link w:val="Heading5"/>
    <w:uiPriority w:val="9"/>
    <w:rsid w:val="008E1D13"/>
    <w:rPr>
      <w:rFonts w:ascii="Arial" w:eastAsiaTheme="majorEastAsia" w:hAnsi="Arial" w:cstheme="majorBidi"/>
      <w:b/>
      <w:i/>
      <w:sz w:val="24"/>
    </w:rPr>
  </w:style>
  <w:style w:type="character" w:styleId="Emphasis">
    <w:name w:val="Emphasis"/>
    <w:basedOn w:val="DefaultParagraphFont"/>
    <w:uiPriority w:val="20"/>
    <w:qFormat/>
    <w:rsid w:val="00F93F79"/>
    <w:rPr>
      <w:i/>
      <w:iCs/>
    </w:rPr>
  </w:style>
  <w:style w:type="character" w:styleId="SubtleEmphasis">
    <w:name w:val="Subtle Emphasis"/>
    <w:basedOn w:val="DefaultParagraphFont"/>
    <w:uiPriority w:val="19"/>
    <w:qFormat/>
    <w:rsid w:val="003D38BA"/>
    <w:rPr>
      <w:rFonts w:ascii="Arial" w:hAnsi="Arial"/>
      <w:i/>
      <w:iCs/>
      <w:color w:val="404040" w:themeColor="text1" w:themeTint="BF"/>
    </w:rPr>
  </w:style>
  <w:style w:type="paragraph" w:styleId="Subtitle">
    <w:name w:val="Subtitle"/>
    <w:basedOn w:val="Normal"/>
    <w:next w:val="Normal"/>
    <w:link w:val="SubtitleChar"/>
    <w:uiPriority w:val="11"/>
    <w:qFormat/>
    <w:rsid w:val="007B17C9"/>
    <w:pPr>
      <w:numPr>
        <w:ilvl w:val="1"/>
      </w:numPr>
      <w:spacing w:before="360"/>
    </w:pPr>
    <w:rPr>
      <w:rFonts w:eastAsiaTheme="minorEastAsia"/>
      <w:b/>
      <w:i/>
      <w:color w:val="2F5496" w:themeColor="accent1" w:themeShade="BF"/>
      <w:spacing w:val="15"/>
      <w:sz w:val="24"/>
    </w:rPr>
  </w:style>
  <w:style w:type="character" w:customStyle="1" w:styleId="SubtitleChar">
    <w:name w:val="Subtitle Char"/>
    <w:basedOn w:val="DefaultParagraphFont"/>
    <w:link w:val="Subtitle"/>
    <w:uiPriority w:val="11"/>
    <w:rsid w:val="007B17C9"/>
    <w:rPr>
      <w:rFonts w:ascii="Arial" w:eastAsiaTheme="minorEastAsia" w:hAnsi="Arial"/>
      <w:b/>
      <w:i/>
      <w:color w:val="2F5496" w:themeColor="accent1" w:themeShade="BF"/>
      <w:spacing w:val="15"/>
      <w:sz w:val="24"/>
    </w:rPr>
  </w:style>
  <w:style w:type="character" w:customStyle="1" w:styleId="UnresolvedMention1">
    <w:name w:val="Unresolved Mention1"/>
    <w:basedOn w:val="DefaultParagraphFont"/>
    <w:uiPriority w:val="99"/>
    <w:semiHidden/>
    <w:unhideWhenUsed/>
    <w:rsid w:val="00760D97"/>
    <w:rPr>
      <w:color w:val="605E5C"/>
      <w:shd w:val="clear" w:color="auto" w:fill="E1DFDD"/>
    </w:rPr>
  </w:style>
  <w:style w:type="paragraph" w:styleId="FootnoteText">
    <w:name w:val="footnote text"/>
    <w:basedOn w:val="Normal"/>
    <w:link w:val="FootnoteTextChar"/>
    <w:uiPriority w:val="99"/>
    <w:unhideWhenUsed/>
    <w:rsid w:val="00E91872"/>
    <w:pPr>
      <w:spacing w:before="60" w:after="0" w:line="240" w:lineRule="auto"/>
    </w:pPr>
    <w:rPr>
      <w:sz w:val="16"/>
      <w:szCs w:val="20"/>
    </w:rPr>
  </w:style>
  <w:style w:type="character" w:customStyle="1" w:styleId="FootnoteTextChar">
    <w:name w:val="Footnote Text Char"/>
    <w:basedOn w:val="DefaultParagraphFont"/>
    <w:link w:val="FootnoteText"/>
    <w:uiPriority w:val="99"/>
    <w:rsid w:val="00E91872"/>
    <w:rPr>
      <w:rFonts w:ascii="Arial" w:hAnsi="Arial"/>
      <w:sz w:val="16"/>
      <w:szCs w:val="20"/>
    </w:rPr>
  </w:style>
  <w:style w:type="character" w:styleId="FootnoteReference">
    <w:name w:val="footnote reference"/>
    <w:basedOn w:val="DefaultParagraphFont"/>
    <w:uiPriority w:val="99"/>
    <w:unhideWhenUsed/>
    <w:rsid w:val="009B31D7"/>
    <w:rPr>
      <w:vertAlign w:val="superscript"/>
    </w:rPr>
  </w:style>
  <w:style w:type="character" w:customStyle="1" w:styleId="Heading6Char">
    <w:name w:val="Heading 6 Char"/>
    <w:basedOn w:val="DefaultParagraphFont"/>
    <w:link w:val="Heading6"/>
    <w:uiPriority w:val="9"/>
    <w:rsid w:val="001A356A"/>
    <w:rPr>
      <w:rFonts w:asciiTheme="majorHAnsi" w:eastAsiaTheme="majorEastAsia" w:hAnsiTheme="majorHAnsi" w:cstheme="majorBidi"/>
      <w:color w:val="1F3763" w:themeColor="accent1" w:themeShade="7F"/>
    </w:rPr>
  </w:style>
  <w:style w:type="paragraph" w:customStyle="1" w:styleId="Option">
    <w:name w:val="Option"/>
    <w:basedOn w:val="Normal"/>
    <w:qFormat/>
    <w:rsid w:val="0085480C"/>
    <w:pPr>
      <w:spacing w:before="240"/>
    </w:pPr>
    <w:rPr>
      <w:b/>
    </w:rPr>
  </w:style>
  <w:style w:type="character" w:styleId="IntenseEmphasis">
    <w:name w:val="Intense Emphasis"/>
    <w:basedOn w:val="DefaultParagraphFont"/>
    <w:uiPriority w:val="21"/>
    <w:qFormat/>
    <w:rsid w:val="00A20508"/>
    <w:rPr>
      <w:i/>
      <w:iCs/>
      <w:color w:val="2F5496" w:themeColor="accent1" w:themeShade="BF"/>
    </w:rPr>
  </w:style>
  <w:style w:type="paragraph" w:styleId="IntenseQuote">
    <w:name w:val="Intense Quote"/>
    <w:basedOn w:val="Normal"/>
    <w:next w:val="Normal"/>
    <w:link w:val="IntenseQuoteChar"/>
    <w:uiPriority w:val="30"/>
    <w:qFormat/>
    <w:rsid w:val="00ED13A3"/>
    <w:pPr>
      <w:pBdr>
        <w:top w:val="single" w:sz="4" w:space="10" w:color="4472C4" w:themeColor="accent1"/>
        <w:bottom w:val="single" w:sz="4" w:space="10" w:color="4472C4" w:themeColor="accent1"/>
      </w:pBdr>
      <w:spacing w:before="360" w:after="360"/>
      <w:ind w:left="862" w:right="862"/>
    </w:pPr>
    <w:rPr>
      <w:i/>
      <w:iCs/>
      <w:color w:val="4472C4" w:themeColor="accent1"/>
    </w:rPr>
  </w:style>
  <w:style w:type="character" w:customStyle="1" w:styleId="IntenseQuoteChar">
    <w:name w:val="Intense Quote Char"/>
    <w:basedOn w:val="DefaultParagraphFont"/>
    <w:link w:val="IntenseQuote"/>
    <w:uiPriority w:val="30"/>
    <w:rsid w:val="00ED13A3"/>
    <w:rPr>
      <w:rFonts w:ascii="Arial" w:hAnsi="Arial"/>
      <w:i/>
      <w:iCs/>
      <w:color w:val="4472C4" w:themeColor="accent1"/>
    </w:rPr>
  </w:style>
  <w:style w:type="paragraph" w:customStyle="1" w:styleId="Normalafter">
    <w:name w:val="Normal after"/>
    <w:basedOn w:val="Normal"/>
    <w:qFormat/>
    <w:rsid w:val="00356F5A"/>
    <w:pPr>
      <w:spacing w:before="240"/>
    </w:pPr>
  </w:style>
  <w:style w:type="paragraph" w:customStyle="1" w:styleId="Bulletsindent">
    <w:name w:val="Bullets indent"/>
    <w:basedOn w:val="Bullets1"/>
    <w:qFormat/>
    <w:rsid w:val="00FA38AF"/>
    <w:pPr>
      <w:ind w:left="1491"/>
    </w:pPr>
  </w:style>
  <w:style w:type="character" w:customStyle="1" w:styleId="hgkelc">
    <w:name w:val="hgkelc"/>
    <w:basedOn w:val="DefaultParagraphFont"/>
    <w:rsid w:val="00470FEF"/>
  </w:style>
  <w:style w:type="paragraph" w:customStyle="1" w:styleId="title-bold">
    <w:name w:val="title-bold"/>
    <w:basedOn w:val="Normal"/>
    <w:rsid w:val="00415A5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oj-normal">
    <w:name w:val="oj-normal"/>
    <w:basedOn w:val="Normal"/>
    <w:rsid w:val="00EF43CF"/>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oj-super">
    <w:name w:val="oj-super"/>
    <w:basedOn w:val="DefaultParagraphFont"/>
    <w:rsid w:val="00EF43CF"/>
  </w:style>
  <w:style w:type="character" w:customStyle="1" w:styleId="oj-bold">
    <w:name w:val="oj-bold"/>
    <w:basedOn w:val="DefaultParagraphFont"/>
    <w:rsid w:val="00DB4508"/>
  </w:style>
  <w:style w:type="paragraph" w:customStyle="1" w:styleId="Bullet">
    <w:name w:val="Bullet"/>
    <w:basedOn w:val="Normal"/>
    <w:qFormat/>
    <w:rsid w:val="009403FF"/>
    <w:pPr>
      <w:numPr>
        <w:numId w:val="2"/>
      </w:numPr>
      <w:spacing w:after="120"/>
      <w:ind w:left="714" w:hanging="357"/>
    </w:pPr>
    <w:rPr>
      <w:rFonts w:eastAsiaTheme="minorHAnsi"/>
      <w:szCs w:val="24"/>
    </w:rPr>
  </w:style>
  <w:style w:type="paragraph" w:styleId="Caption">
    <w:name w:val="caption"/>
    <w:basedOn w:val="Normal"/>
    <w:next w:val="Normal"/>
    <w:uiPriority w:val="35"/>
    <w:unhideWhenUsed/>
    <w:qFormat/>
    <w:rsid w:val="00B64954"/>
    <w:pPr>
      <w:spacing w:after="200" w:line="240" w:lineRule="auto"/>
    </w:pPr>
    <w:rPr>
      <w:rFonts w:ascii="Gill Sans MT" w:eastAsiaTheme="minorHAnsi" w:hAnsi="Gill Sans MT"/>
      <w:i/>
      <w:iCs/>
      <w:color w:val="44546A" w:themeColor="text2"/>
      <w:sz w:val="18"/>
      <w:szCs w:val="18"/>
    </w:rPr>
  </w:style>
  <w:style w:type="paragraph" w:customStyle="1" w:styleId="Stavobjanjenje">
    <w:name w:val="Stav objašnjenje"/>
    <w:basedOn w:val="Normal"/>
    <w:next w:val="Normal"/>
    <w:qFormat/>
    <w:rsid w:val="00B64954"/>
    <w:pPr>
      <w:spacing w:before="240" w:after="120"/>
    </w:pPr>
    <w:rPr>
      <w:rFonts w:ascii="Gill Sans MT" w:eastAsiaTheme="minorHAnsi" w:hAnsi="Gill Sans MT"/>
      <w:i/>
      <w:color w:val="2F5496" w:themeColor="accent1" w:themeShade="BF"/>
      <w:sz w:val="24"/>
      <w:szCs w:val="24"/>
    </w:rPr>
  </w:style>
  <w:style w:type="paragraph" w:customStyle="1" w:styleId="table">
    <w:name w:val="table"/>
    <w:basedOn w:val="Normal"/>
    <w:qFormat/>
    <w:rsid w:val="00C623D5"/>
  </w:style>
  <w:style w:type="character" w:styleId="IntenseReference">
    <w:name w:val="Intense Reference"/>
    <w:basedOn w:val="DefaultParagraphFont"/>
    <w:uiPriority w:val="32"/>
    <w:qFormat/>
    <w:rsid w:val="00773E0C"/>
    <w:rPr>
      <w:b/>
      <w:bCs/>
      <w:smallCaps/>
      <w:color w:val="4472C4" w:themeColor="accent1"/>
      <w:spacing w:val="5"/>
    </w:rPr>
  </w:style>
  <w:style w:type="paragraph" w:customStyle="1" w:styleId="CM11">
    <w:name w:val="CM1+1"/>
    <w:basedOn w:val="Default"/>
    <w:next w:val="Default"/>
    <w:uiPriority w:val="99"/>
    <w:rsid w:val="00DA3F84"/>
    <w:rPr>
      <w:rFonts w:ascii="EUAlbertina" w:eastAsia="Batang" w:hAnsi="EUAlbertina" w:cstheme="minorBidi"/>
      <w:color w:val="auto"/>
    </w:rPr>
  </w:style>
  <w:style w:type="paragraph" w:customStyle="1" w:styleId="CM31">
    <w:name w:val="CM3+1"/>
    <w:basedOn w:val="Default"/>
    <w:next w:val="Default"/>
    <w:uiPriority w:val="99"/>
    <w:rsid w:val="00DA3F84"/>
    <w:rPr>
      <w:rFonts w:ascii="EUAlbertina" w:eastAsia="Batang" w:hAnsi="EUAlbertina" w:cstheme="minorBidi"/>
      <w:color w:val="auto"/>
    </w:rPr>
  </w:style>
  <w:style w:type="paragraph" w:customStyle="1" w:styleId="CM41">
    <w:name w:val="CM4+1"/>
    <w:basedOn w:val="Default"/>
    <w:next w:val="Default"/>
    <w:uiPriority w:val="99"/>
    <w:rsid w:val="00DA3F84"/>
    <w:rPr>
      <w:rFonts w:ascii="EUAlbertina" w:eastAsia="Batang" w:hAnsi="EUAlbertina" w:cstheme="minorBidi"/>
      <w:color w:val="auto"/>
    </w:rPr>
  </w:style>
  <w:style w:type="paragraph" w:customStyle="1" w:styleId="Specialbullet">
    <w:name w:val="Special bullet"/>
    <w:basedOn w:val="Bullet"/>
    <w:qFormat/>
    <w:rsid w:val="006913B3"/>
    <w:pPr>
      <w:numPr>
        <w:numId w:val="3"/>
      </w:numPr>
      <w:spacing w:after="160"/>
      <w:ind w:left="714" w:hanging="357"/>
    </w:pPr>
  </w:style>
  <w:style w:type="character" w:styleId="FollowedHyperlink">
    <w:name w:val="FollowedHyperlink"/>
    <w:basedOn w:val="DefaultParagraphFont"/>
    <w:uiPriority w:val="99"/>
    <w:semiHidden/>
    <w:unhideWhenUsed/>
    <w:rsid w:val="00F108EF"/>
    <w:rPr>
      <w:color w:val="954F72" w:themeColor="followedHyperlink"/>
      <w:u w:val="single"/>
    </w:rPr>
  </w:style>
  <w:style w:type="paragraph" w:styleId="Revision">
    <w:name w:val="Revision"/>
    <w:hidden/>
    <w:uiPriority w:val="99"/>
    <w:semiHidden/>
    <w:rsid w:val="00360AAA"/>
    <w:pPr>
      <w:spacing w:after="0" w:line="240" w:lineRule="auto"/>
    </w:pPr>
    <w:rPr>
      <w:rFonts w:ascii="Arial" w:hAnsi="Arial"/>
    </w:rPr>
  </w:style>
  <w:style w:type="character" w:styleId="CommentReference">
    <w:name w:val="annotation reference"/>
    <w:basedOn w:val="DefaultParagraphFont"/>
    <w:uiPriority w:val="99"/>
    <w:semiHidden/>
    <w:unhideWhenUsed/>
    <w:rsid w:val="006312FA"/>
    <w:rPr>
      <w:sz w:val="16"/>
      <w:szCs w:val="16"/>
    </w:rPr>
  </w:style>
  <w:style w:type="paragraph" w:styleId="CommentText">
    <w:name w:val="annotation text"/>
    <w:basedOn w:val="Normal"/>
    <w:link w:val="CommentTextChar"/>
    <w:uiPriority w:val="99"/>
    <w:unhideWhenUsed/>
    <w:rsid w:val="006312FA"/>
    <w:pPr>
      <w:spacing w:line="240" w:lineRule="auto"/>
    </w:pPr>
    <w:rPr>
      <w:sz w:val="20"/>
      <w:szCs w:val="20"/>
    </w:rPr>
  </w:style>
  <w:style w:type="character" w:customStyle="1" w:styleId="CommentTextChar">
    <w:name w:val="Comment Text Char"/>
    <w:basedOn w:val="DefaultParagraphFont"/>
    <w:link w:val="CommentText"/>
    <w:uiPriority w:val="99"/>
    <w:rsid w:val="006312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12FA"/>
    <w:rPr>
      <w:b/>
      <w:bCs/>
    </w:rPr>
  </w:style>
  <w:style w:type="character" w:customStyle="1" w:styleId="CommentSubjectChar">
    <w:name w:val="Comment Subject Char"/>
    <w:basedOn w:val="CommentTextChar"/>
    <w:link w:val="CommentSubject"/>
    <w:uiPriority w:val="99"/>
    <w:semiHidden/>
    <w:rsid w:val="006312FA"/>
    <w:rPr>
      <w:rFonts w:ascii="Arial" w:hAnsi="Arial"/>
      <w:b/>
      <w:bCs/>
      <w:sz w:val="20"/>
      <w:szCs w:val="20"/>
    </w:rPr>
  </w:style>
  <w:style w:type="character" w:customStyle="1" w:styleId="ListParagraphChar">
    <w:name w:val="List Paragraph Char"/>
    <w:aliases w:val="igunore Char,Subtitle Cover Page Char"/>
    <w:link w:val="ListParagraph"/>
    <w:uiPriority w:val="34"/>
    <w:locked/>
    <w:rsid w:val="00C0116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01">
      <w:bodyDiv w:val="1"/>
      <w:marLeft w:val="0"/>
      <w:marRight w:val="0"/>
      <w:marTop w:val="0"/>
      <w:marBottom w:val="0"/>
      <w:divBdr>
        <w:top w:val="none" w:sz="0" w:space="0" w:color="auto"/>
        <w:left w:val="none" w:sz="0" w:space="0" w:color="auto"/>
        <w:bottom w:val="none" w:sz="0" w:space="0" w:color="auto"/>
        <w:right w:val="none" w:sz="0" w:space="0" w:color="auto"/>
      </w:divBdr>
    </w:div>
    <w:div w:id="47383010">
      <w:bodyDiv w:val="1"/>
      <w:marLeft w:val="0"/>
      <w:marRight w:val="0"/>
      <w:marTop w:val="0"/>
      <w:marBottom w:val="0"/>
      <w:divBdr>
        <w:top w:val="none" w:sz="0" w:space="0" w:color="auto"/>
        <w:left w:val="none" w:sz="0" w:space="0" w:color="auto"/>
        <w:bottom w:val="none" w:sz="0" w:space="0" w:color="auto"/>
        <w:right w:val="none" w:sz="0" w:space="0" w:color="auto"/>
      </w:divBdr>
    </w:div>
    <w:div w:id="50231063">
      <w:bodyDiv w:val="1"/>
      <w:marLeft w:val="0"/>
      <w:marRight w:val="0"/>
      <w:marTop w:val="0"/>
      <w:marBottom w:val="0"/>
      <w:divBdr>
        <w:top w:val="none" w:sz="0" w:space="0" w:color="auto"/>
        <w:left w:val="none" w:sz="0" w:space="0" w:color="auto"/>
        <w:bottom w:val="none" w:sz="0" w:space="0" w:color="auto"/>
        <w:right w:val="none" w:sz="0" w:space="0" w:color="auto"/>
      </w:divBdr>
    </w:div>
    <w:div w:id="73940085">
      <w:bodyDiv w:val="1"/>
      <w:marLeft w:val="0"/>
      <w:marRight w:val="0"/>
      <w:marTop w:val="0"/>
      <w:marBottom w:val="0"/>
      <w:divBdr>
        <w:top w:val="none" w:sz="0" w:space="0" w:color="auto"/>
        <w:left w:val="none" w:sz="0" w:space="0" w:color="auto"/>
        <w:bottom w:val="none" w:sz="0" w:space="0" w:color="auto"/>
        <w:right w:val="none" w:sz="0" w:space="0" w:color="auto"/>
      </w:divBdr>
    </w:div>
    <w:div w:id="78062393">
      <w:bodyDiv w:val="1"/>
      <w:marLeft w:val="0"/>
      <w:marRight w:val="0"/>
      <w:marTop w:val="0"/>
      <w:marBottom w:val="0"/>
      <w:divBdr>
        <w:top w:val="none" w:sz="0" w:space="0" w:color="auto"/>
        <w:left w:val="none" w:sz="0" w:space="0" w:color="auto"/>
        <w:bottom w:val="none" w:sz="0" w:space="0" w:color="auto"/>
        <w:right w:val="none" w:sz="0" w:space="0" w:color="auto"/>
      </w:divBdr>
    </w:div>
    <w:div w:id="78138063">
      <w:bodyDiv w:val="1"/>
      <w:marLeft w:val="0"/>
      <w:marRight w:val="0"/>
      <w:marTop w:val="0"/>
      <w:marBottom w:val="0"/>
      <w:divBdr>
        <w:top w:val="none" w:sz="0" w:space="0" w:color="auto"/>
        <w:left w:val="none" w:sz="0" w:space="0" w:color="auto"/>
        <w:bottom w:val="none" w:sz="0" w:space="0" w:color="auto"/>
        <w:right w:val="none" w:sz="0" w:space="0" w:color="auto"/>
      </w:divBdr>
    </w:div>
    <w:div w:id="88356164">
      <w:bodyDiv w:val="1"/>
      <w:marLeft w:val="0"/>
      <w:marRight w:val="0"/>
      <w:marTop w:val="0"/>
      <w:marBottom w:val="0"/>
      <w:divBdr>
        <w:top w:val="none" w:sz="0" w:space="0" w:color="auto"/>
        <w:left w:val="none" w:sz="0" w:space="0" w:color="auto"/>
        <w:bottom w:val="none" w:sz="0" w:space="0" w:color="auto"/>
        <w:right w:val="none" w:sz="0" w:space="0" w:color="auto"/>
      </w:divBdr>
      <w:divsChild>
        <w:div w:id="1305311214">
          <w:marLeft w:val="0"/>
          <w:marRight w:val="0"/>
          <w:marTop w:val="0"/>
          <w:marBottom w:val="0"/>
          <w:divBdr>
            <w:top w:val="none" w:sz="0" w:space="0" w:color="auto"/>
            <w:left w:val="none" w:sz="0" w:space="0" w:color="auto"/>
            <w:bottom w:val="none" w:sz="0" w:space="0" w:color="auto"/>
            <w:right w:val="none" w:sz="0" w:space="0" w:color="auto"/>
          </w:divBdr>
          <w:divsChild>
            <w:div w:id="325017976">
              <w:marLeft w:val="0"/>
              <w:marRight w:val="0"/>
              <w:marTop w:val="0"/>
              <w:marBottom w:val="0"/>
              <w:divBdr>
                <w:top w:val="none" w:sz="0" w:space="0" w:color="auto"/>
                <w:left w:val="none" w:sz="0" w:space="0" w:color="auto"/>
                <w:bottom w:val="none" w:sz="0" w:space="0" w:color="auto"/>
                <w:right w:val="none" w:sz="0" w:space="0" w:color="auto"/>
              </w:divBdr>
              <w:divsChild>
                <w:div w:id="1099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765">
      <w:bodyDiv w:val="1"/>
      <w:marLeft w:val="0"/>
      <w:marRight w:val="0"/>
      <w:marTop w:val="0"/>
      <w:marBottom w:val="0"/>
      <w:divBdr>
        <w:top w:val="none" w:sz="0" w:space="0" w:color="auto"/>
        <w:left w:val="none" w:sz="0" w:space="0" w:color="auto"/>
        <w:bottom w:val="none" w:sz="0" w:space="0" w:color="auto"/>
        <w:right w:val="none" w:sz="0" w:space="0" w:color="auto"/>
      </w:divBdr>
    </w:div>
    <w:div w:id="147212571">
      <w:bodyDiv w:val="1"/>
      <w:marLeft w:val="0"/>
      <w:marRight w:val="0"/>
      <w:marTop w:val="0"/>
      <w:marBottom w:val="0"/>
      <w:divBdr>
        <w:top w:val="none" w:sz="0" w:space="0" w:color="auto"/>
        <w:left w:val="none" w:sz="0" w:space="0" w:color="auto"/>
        <w:bottom w:val="none" w:sz="0" w:space="0" w:color="auto"/>
        <w:right w:val="none" w:sz="0" w:space="0" w:color="auto"/>
      </w:divBdr>
    </w:div>
    <w:div w:id="147526594">
      <w:bodyDiv w:val="1"/>
      <w:marLeft w:val="0"/>
      <w:marRight w:val="0"/>
      <w:marTop w:val="0"/>
      <w:marBottom w:val="0"/>
      <w:divBdr>
        <w:top w:val="none" w:sz="0" w:space="0" w:color="auto"/>
        <w:left w:val="none" w:sz="0" w:space="0" w:color="auto"/>
        <w:bottom w:val="none" w:sz="0" w:space="0" w:color="auto"/>
        <w:right w:val="none" w:sz="0" w:space="0" w:color="auto"/>
      </w:divBdr>
    </w:div>
    <w:div w:id="177472652">
      <w:bodyDiv w:val="1"/>
      <w:marLeft w:val="0"/>
      <w:marRight w:val="0"/>
      <w:marTop w:val="0"/>
      <w:marBottom w:val="0"/>
      <w:divBdr>
        <w:top w:val="none" w:sz="0" w:space="0" w:color="auto"/>
        <w:left w:val="none" w:sz="0" w:space="0" w:color="auto"/>
        <w:bottom w:val="none" w:sz="0" w:space="0" w:color="auto"/>
        <w:right w:val="none" w:sz="0" w:space="0" w:color="auto"/>
      </w:divBdr>
    </w:div>
    <w:div w:id="193005136">
      <w:bodyDiv w:val="1"/>
      <w:marLeft w:val="0"/>
      <w:marRight w:val="0"/>
      <w:marTop w:val="0"/>
      <w:marBottom w:val="0"/>
      <w:divBdr>
        <w:top w:val="none" w:sz="0" w:space="0" w:color="auto"/>
        <w:left w:val="none" w:sz="0" w:space="0" w:color="auto"/>
        <w:bottom w:val="none" w:sz="0" w:space="0" w:color="auto"/>
        <w:right w:val="none" w:sz="0" w:space="0" w:color="auto"/>
      </w:divBdr>
    </w:div>
    <w:div w:id="203101920">
      <w:bodyDiv w:val="1"/>
      <w:marLeft w:val="0"/>
      <w:marRight w:val="0"/>
      <w:marTop w:val="0"/>
      <w:marBottom w:val="0"/>
      <w:divBdr>
        <w:top w:val="none" w:sz="0" w:space="0" w:color="auto"/>
        <w:left w:val="none" w:sz="0" w:space="0" w:color="auto"/>
        <w:bottom w:val="none" w:sz="0" w:space="0" w:color="auto"/>
        <w:right w:val="none" w:sz="0" w:space="0" w:color="auto"/>
      </w:divBdr>
    </w:div>
    <w:div w:id="219250591">
      <w:bodyDiv w:val="1"/>
      <w:marLeft w:val="0"/>
      <w:marRight w:val="0"/>
      <w:marTop w:val="0"/>
      <w:marBottom w:val="0"/>
      <w:divBdr>
        <w:top w:val="none" w:sz="0" w:space="0" w:color="auto"/>
        <w:left w:val="none" w:sz="0" w:space="0" w:color="auto"/>
        <w:bottom w:val="none" w:sz="0" w:space="0" w:color="auto"/>
        <w:right w:val="none" w:sz="0" w:space="0" w:color="auto"/>
      </w:divBdr>
    </w:div>
    <w:div w:id="223877823">
      <w:bodyDiv w:val="1"/>
      <w:marLeft w:val="0"/>
      <w:marRight w:val="0"/>
      <w:marTop w:val="0"/>
      <w:marBottom w:val="0"/>
      <w:divBdr>
        <w:top w:val="none" w:sz="0" w:space="0" w:color="auto"/>
        <w:left w:val="none" w:sz="0" w:space="0" w:color="auto"/>
        <w:bottom w:val="none" w:sz="0" w:space="0" w:color="auto"/>
        <w:right w:val="none" w:sz="0" w:space="0" w:color="auto"/>
      </w:divBdr>
    </w:div>
    <w:div w:id="262079494">
      <w:bodyDiv w:val="1"/>
      <w:marLeft w:val="0"/>
      <w:marRight w:val="0"/>
      <w:marTop w:val="0"/>
      <w:marBottom w:val="0"/>
      <w:divBdr>
        <w:top w:val="none" w:sz="0" w:space="0" w:color="auto"/>
        <w:left w:val="none" w:sz="0" w:space="0" w:color="auto"/>
        <w:bottom w:val="none" w:sz="0" w:space="0" w:color="auto"/>
        <w:right w:val="none" w:sz="0" w:space="0" w:color="auto"/>
      </w:divBdr>
    </w:div>
    <w:div w:id="270862018">
      <w:bodyDiv w:val="1"/>
      <w:marLeft w:val="0"/>
      <w:marRight w:val="0"/>
      <w:marTop w:val="0"/>
      <w:marBottom w:val="0"/>
      <w:divBdr>
        <w:top w:val="none" w:sz="0" w:space="0" w:color="auto"/>
        <w:left w:val="none" w:sz="0" w:space="0" w:color="auto"/>
        <w:bottom w:val="none" w:sz="0" w:space="0" w:color="auto"/>
        <w:right w:val="none" w:sz="0" w:space="0" w:color="auto"/>
      </w:divBdr>
    </w:div>
    <w:div w:id="286276793">
      <w:bodyDiv w:val="1"/>
      <w:marLeft w:val="0"/>
      <w:marRight w:val="0"/>
      <w:marTop w:val="0"/>
      <w:marBottom w:val="0"/>
      <w:divBdr>
        <w:top w:val="none" w:sz="0" w:space="0" w:color="auto"/>
        <w:left w:val="none" w:sz="0" w:space="0" w:color="auto"/>
        <w:bottom w:val="none" w:sz="0" w:space="0" w:color="auto"/>
        <w:right w:val="none" w:sz="0" w:space="0" w:color="auto"/>
      </w:divBdr>
    </w:div>
    <w:div w:id="294916080">
      <w:bodyDiv w:val="1"/>
      <w:marLeft w:val="0"/>
      <w:marRight w:val="0"/>
      <w:marTop w:val="0"/>
      <w:marBottom w:val="0"/>
      <w:divBdr>
        <w:top w:val="none" w:sz="0" w:space="0" w:color="auto"/>
        <w:left w:val="none" w:sz="0" w:space="0" w:color="auto"/>
        <w:bottom w:val="none" w:sz="0" w:space="0" w:color="auto"/>
        <w:right w:val="none" w:sz="0" w:space="0" w:color="auto"/>
      </w:divBdr>
    </w:div>
    <w:div w:id="338385802">
      <w:bodyDiv w:val="1"/>
      <w:marLeft w:val="0"/>
      <w:marRight w:val="0"/>
      <w:marTop w:val="0"/>
      <w:marBottom w:val="0"/>
      <w:divBdr>
        <w:top w:val="none" w:sz="0" w:space="0" w:color="auto"/>
        <w:left w:val="none" w:sz="0" w:space="0" w:color="auto"/>
        <w:bottom w:val="none" w:sz="0" w:space="0" w:color="auto"/>
        <w:right w:val="none" w:sz="0" w:space="0" w:color="auto"/>
      </w:divBdr>
    </w:div>
    <w:div w:id="344749089">
      <w:bodyDiv w:val="1"/>
      <w:marLeft w:val="0"/>
      <w:marRight w:val="0"/>
      <w:marTop w:val="0"/>
      <w:marBottom w:val="0"/>
      <w:divBdr>
        <w:top w:val="none" w:sz="0" w:space="0" w:color="auto"/>
        <w:left w:val="none" w:sz="0" w:space="0" w:color="auto"/>
        <w:bottom w:val="none" w:sz="0" w:space="0" w:color="auto"/>
        <w:right w:val="none" w:sz="0" w:space="0" w:color="auto"/>
      </w:divBdr>
    </w:div>
    <w:div w:id="364789935">
      <w:bodyDiv w:val="1"/>
      <w:marLeft w:val="0"/>
      <w:marRight w:val="0"/>
      <w:marTop w:val="0"/>
      <w:marBottom w:val="0"/>
      <w:divBdr>
        <w:top w:val="none" w:sz="0" w:space="0" w:color="auto"/>
        <w:left w:val="none" w:sz="0" w:space="0" w:color="auto"/>
        <w:bottom w:val="none" w:sz="0" w:space="0" w:color="auto"/>
        <w:right w:val="none" w:sz="0" w:space="0" w:color="auto"/>
      </w:divBdr>
    </w:div>
    <w:div w:id="387807203">
      <w:bodyDiv w:val="1"/>
      <w:marLeft w:val="0"/>
      <w:marRight w:val="0"/>
      <w:marTop w:val="0"/>
      <w:marBottom w:val="0"/>
      <w:divBdr>
        <w:top w:val="none" w:sz="0" w:space="0" w:color="auto"/>
        <w:left w:val="none" w:sz="0" w:space="0" w:color="auto"/>
        <w:bottom w:val="none" w:sz="0" w:space="0" w:color="auto"/>
        <w:right w:val="none" w:sz="0" w:space="0" w:color="auto"/>
      </w:divBdr>
    </w:div>
    <w:div w:id="399062344">
      <w:bodyDiv w:val="1"/>
      <w:marLeft w:val="0"/>
      <w:marRight w:val="0"/>
      <w:marTop w:val="0"/>
      <w:marBottom w:val="0"/>
      <w:divBdr>
        <w:top w:val="none" w:sz="0" w:space="0" w:color="auto"/>
        <w:left w:val="none" w:sz="0" w:space="0" w:color="auto"/>
        <w:bottom w:val="none" w:sz="0" w:space="0" w:color="auto"/>
        <w:right w:val="none" w:sz="0" w:space="0" w:color="auto"/>
      </w:divBdr>
    </w:div>
    <w:div w:id="424032049">
      <w:bodyDiv w:val="1"/>
      <w:marLeft w:val="0"/>
      <w:marRight w:val="0"/>
      <w:marTop w:val="0"/>
      <w:marBottom w:val="0"/>
      <w:divBdr>
        <w:top w:val="none" w:sz="0" w:space="0" w:color="auto"/>
        <w:left w:val="none" w:sz="0" w:space="0" w:color="auto"/>
        <w:bottom w:val="none" w:sz="0" w:space="0" w:color="auto"/>
        <w:right w:val="none" w:sz="0" w:space="0" w:color="auto"/>
      </w:divBdr>
    </w:div>
    <w:div w:id="432552147">
      <w:bodyDiv w:val="1"/>
      <w:marLeft w:val="0"/>
      <w:marRight w:val="0"/>
      <w:marTop w:val="0"/>
      <w:marBottom w:val="0"/>
      <w:divBdr>
        <w:top w:val="none" w:sz="0" w:space="0" w:color="auto"/>
        <w:left w:val="none" w:sz="0" w:space="0" w:color="auto"/>
        <w:bottom w:val="none" w:sz="0" w:space="0" w:color="auto"/>
        <w:right w:val="none" w:sz="0" w:space="0" w:color="auto"/>
      </w:divBdr>
      <w:divsChild>
        <w:div w:id="85394756">
          <w:marLeft w:val="0"/>
          <w:marRight w:val="0"/>
          <w:marTop w:val="0"/>
          <w:marBottom w:val="0"/>
          <w:divBdr>
            <w:top w:val="none" w:sz="0" w:space="0" w:color="auto"/>
            <w:left w:val="none" w:sz="0" w:space="0" w:color="auto"/>
            <w:bottom w:val="none" w:sz="0" w:space="0" w:color="auto"/>
            <w:right w:val="none" w:sz="0" w:space="0" w:color="auto"/>
          </w:divBdr>
          <w:divsChild>
            <w:div w:id="851844588">
              <w:marLeft w:val="0"/>
              <w:marRight w:val="0"/>
              <w:marTop w:val="0"/>
              <w:marBottom w:val="0"/>
              <w:divBdr>
                <w:top w:val="none" w:sz="0" w:space="0" w:color="auto"/>
                <w:left w:val="none" w:sz="0" w:space="0" w:color="auto"/>
                <w:bottom w:val="none" w:sz="0" w:space="0" w:color="auto"/>
                <w:right w:val="none" w:sz="0" w:space="0" w:color="auto"/>
              </w:divBdr>
              <w:divsChild>
                <w:div w:id="432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6881">
      <w:bodyDiv w:val="1"/>
      <w:marLeft w:val="0"/>
      <w:marRight w:val="0"/>
      <w:marTop w:val="0"/>
      <w:marBottom w:val="0"/>
      <w:divBdr>
        <w:top w:val="none" w:sz="0" w:space="0" w:color="auto"/>
        <w:left w:val="none" w:sz="0" w:space="0" w:color="auto"/>
        <w:bottom w:val="none" w:sz="0" w:space="0" w:color="auto"/>
        <w:right w:val="none" w:sz="0" w:space="0" w:color="auto"/>
      </w:divBdr>
    </w:div>
    <w:div w:id="488446205">
      <w:bodyDiv w:val="1"/>
      <w:marLeft w:val="0"/>
      <w:marRight w:val="0"/>
      <w:marTop w:val="0"/>
      <w:marBottom w:val="0"/>
      <w:divBdr>
        <w:top w:val="none" w:sz="0" w:space="0" w:color="auto"/>
        <w:left w:val="none" w:sz="0" w:space="0" w:color="auto"/>
        <w:bottom w:val="none" w:sz="0" w:space="0" w:color="auto"/>
        <w:right w:val="none" w:sz="0" w:space="0" w:color="auto"/>
      </w:divBdr>
    </w:div>
    <w:div w:id="509567050">
      <w:bodyDiv w:val="1"/>
      <w:marLeft w:val="0"/>
      <w:marRight w:val="0"/>
      <w:marTop w:val="0"/>
      <w:marBottom w:val="0"/>
      <w:divBdr>
        <w:top w:val="none" w:sz="0" w:space="0" w:color="auto"/>
        <w:left w:val="none" w:sz="0" w:space="0" w:color="auto"/>
        <w:bottom w:val="none" w:sz="0" w:space="0" w:color="auto"/>
        <w:right w:val="none" w:sz="0" w:space="0" w:color="auto"/>
      </w:divBdr>
    </w:div>
    <w:div w:id="518742486">
      <w:bodyDiv w:val="1"/>
      <w:marLeft w:val="0"/>
      <w:marRight w:val="0"/>
      <w:marTop w:val="0"/>
      <w:marBottom w:val="0"/>
      <w:divBdr>
        <w:top w:val="none" w:sz="0" w:space="0" w:color="auto"/>
        <w:left w:val="none" w:sz="0" w:space="0" w:color="auto"/>
        <w:bottom w:val="none" w:sz="0" w:space="0" w:color="auto"/>
        <w:right w:val="none" w:sz="0" w:space="0" w:color="auto"/>
      </w:divBdr>
    </w:div>
    <w:div w:id="520512128">
      <w:bodyDiv w:val="1"/>
      <w:marLeft w:val="0"/>
      <w:marRight w:val="0"/>
      <w:marTop w:val="0"/>
      <w:marBottom w:val="0"/>
      <w:divBdr>
        <w:top w:val="none" w:sz="0" w:space="0" w:color="auto"/>
        <w:left w:val="none" w:sz="0" w:space="0" w:color="auto"/>
        <w:bottom w:val="none" w:sz="0" w:space="0" w:color="auto"/>
        <w:right w:val="none" w:sz="0" w:space="0" w:color="auto"/>
      </w:divBdr>
    </w:div>
    <w:div w:id="528882322">
      <w:bodyDiv w:val="1"/>
      <w:marLeft w:val="0"/>
      <w:marRight w:val="0"/>
      <w:marTop w:val="0"/>
      <w:marBottom w:val="0"/>
      <w:divBdr>
        <w:top w:val="none" w:sz="0" w:space="0" w:color="auto"/>
        <w:left w:val="none" w:sz="0" w:space="0" w:color="auto"/>
        <w:bottom w:val="none" w:sz="0" w:space="0" w:color="auto"/>
        <w:right w:val="none" w:sz="0" w:space="0" w:color="auto"/>
      </w:divBdr>
    </w:div>
    <w:div w:id="533468428">
      <w:bodyDiv w:val="1"/>
      <w:marLeft w:val="0"/>
      <w:marRight w:val="0"/>
      <w:marTop w:val="0"/>
      <w:marBottom w:val="0"/>
      <w:divBdr>
        <w:top w:val="none" w:sz="0" w:space="0" w:color="auto"/>
        <w:left w:val="none" w:sz="0" w:space="0" w:color="auto"/>
        <w:bottom w:val="none" w:sz="0" w:space="0" w:color="auto"/>
        <w:right w:val="none" w:sz="0" w:space="0" w:color="auto"/>
      </w:divBdr>
    </w:div>
    <w:div w:id="547760814">
      <w:bodyDiv w:val="1"/>
      <w:marLeft w:val="0"/>
      <w:marRight w:val="0"/>
      <w:marTop w:val="0"/>
      <w:marBottom w:val="0"/>
      <w:divBdr>
        <w:top w:val="none" w:sz="0" w:space="0" w:color="auto"/>
        <w:left w:val="none" w:sz="0" w:space="0" w:color="auto"/>
        <w:bottom w:val="none" w:sz="0" w:space="0" w:color="auto"/>
        <w:right w:val="none" w:sz="0" w:space="0" w:color="auto"/>
      </w:divBdr>
    </w:div>
    <w:div w:id="570119613">
      <w:bodyDiv w:val="1"/>
      <w:marLeft w:val="0"/>
      <w:marRight w:val="0"/>
      <w:marTop w:val="0"/>
      <w:marBottom w:val="0"/>
      <w:divBdr>
        <w:top w:val="none" w:sz="0" w:space="0" w:color="auto"/>
        <w:left w:val="none" w:sz="0" w:space="0" w:color="auto"/>
        <w:bottom w:val="none" w:sz="0" w:space="0" w:color="auto"/>
        <w:right w:val="none" w:sz="0" w:space="0" w:color="auto"/>
      </w:divBdr>
    </w:div>
    <w:div w:id="583343935">
      <w:bodyDiv w:val="1"/>
      <w:marLeft w:val="0"/>
      <w:marRight w:val="0"/>
      <w:marTop w:val="0"/>
      <w:marBottom w:val="0"/>
      <w:divBdr>
        <w:top w:val="none" w:sz="0" w:space="0" w:color="auto"/>
        <w:left w:val="none" w:sz="0" w:space="0" w:color="auto"/>
        <w:bottom w:val="none" w:sz="0" w:space="0" w:color="auto"/>
        <w:right w:val="none" w:sz="0" w:space="0" w:color="auto"/>
      </w:divBdr>
      <w:divsChild>
        <w:div w:id="2079932499">
          <w:marLeft w:val="0"/>
          <w:marRight w:val="0"/>
          <w:marTop w:val="0"/>
          <w:marBottom w:val="0"/>
          <w:divBdr>
            <w:top w:val="none" w:sz="0" w:space="0" w:color="auto"/>
            <w:left w:val="none" w:sz="0" w:space="0" w:color="auto"/>
            <w:bottom w:val="none" w:sz="0" w:space="0" w:color="auto"/>
            <w:right w:val="none" w:sz="0" w:space="0" w:color="auto"/>
          </w:divBdr>
        </w:div>
        <w:div w:id="316567764">
          <w:marLeft w:val="0"/>
          <w:marRight w:val="0"/>
          <w:marTop w:val="0"/>
          <w:marBottom w:val="0"/>
          <w:divBdr>
            <w:top w:val="none" w:sz="0" w:space="0" w:color="auto"/>
            <w:left w:val="none" w:sz="0" w:space="0" w:color="auto"/>
            <w:bottom w:val="none" w:sz="0" w:space="0" w:color="auto"/>
            <w:right w:val="none" w:sz="0" w:space="0" w:color="auto"/>
          </w:divBdr>
          <w:divsChild>
            <w:div w:id="14750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092">
      <w:bodyDiv w:val="1"/>
      <w:marLeft w:val="0"/>
      <w:marRight w:val="0"/>
      <w:marTop w:val="0"/>
      <w:marBottom w:val="0"/>
      <w:divBdr>
        <w:top w:val="none" w:sz="0" w:space="0" w:color="auto"/>
        <w:left w:val="none" w:sz="0" w:space="0" w:color="auto"/>
        <w:bottom w:val="none" w:sz="0" w:space="0" w:color="auto"/>
        <w:right w:val="none" w:sz="0" w:space="0" w:color="auto"/>
      </w:divBdr>
    </w:div>
    <w:div w:id="609511303">
      <w:bodyDiv w:val="1"/>
      <w:marLeft w:val="0"/>
      <w:marRight w:val="0"/>
      <w:marTop w:val="0"/>
      <w:marBottom w:val="0"/>
      <w:divBdr>
        <w:top w:val="none" w:sz="0" w:space="0" w:color="auto"/>
        <w:left w:val="none" w:sz="0" w:space="0" w:color="auto"/>
        <w:bottom w:val="none" w:sz="0" w:space="0" w:color="auto"/>
        <w:right w:val="none" w:sz="0" w:space="0" w:color="auto"/>
      </w:divBdr>
    </w:div>
    <w:div w:id="618534518">
      <w:bodyDiv w:val="1"/>
      <w:marLeft w:val="0"/>
      <w:marRight w:val="0"/>
      <w:marTop w:val="0"/>
      <w:marBottom w:val="0"/>
      <w:divBdr>
        <w:top w:val="none" w:sz="0" w:space="0" w:color="auto"/>
        <w:left w:val="none" w:sz="0" w:space="0" w:color="auto"/>
        <w:bottom w:val="none" w:sz="0" w:space="0" w:color="auto"/>
        <w:right w:val="none" w:sz="0" w:space="0" w:color="auto"/>
      </w:divBdr>
    </w:div>
    <w:div w:id="619650220">
      <w:bodyDiv w:val="1"/>
      <w:marLeft w:val="0"/>
      <w:marRight w:val="0"/>
      <w:marTop w:val="0"/>
      <w:marBottom w:val="0"/>
      <w:divBdr>
        <w:top w:val="none" w:sz="0" w:space="0" w:color="auto"/>
        <w:left w:val="none" w:sz="0" w:space="0" w:color="auto"/>
        <w:bottom w:val="none" w:sz="0" w:space="0" w:color="auto"/>
        <w:right w:val="none" w:sz="0" w:space="0" w:color="auto"/>
      </w:divBdr>
      <w:divsChild>
        <w:div w:id="886645999">
          <w:marLeft w:val="0"/>
          <w:marRight w:val="0"/>
          <w:marTop w:val="0"/>
          <w:marBottom w:val="0"/>
          <w:divBdr>
            <w:top w:val="none" w:sz="0" w:space="0" w:color="auto"/>
            <w:left w:val="none" w:sz="0" w:space="0" w:color="auto"/>
            <w:bottom w:val="none" w:sz="0" w:space="0" w:color="auto"/>
            <w:right w:val="none" w:sz="0" w:space="0" w:color="auto"/>
          </w:divBdr>
        </w:div>
        <w:div w:id="1786462861">
          <w:marLeft w:val="0"/>
          <w:marRight w:val="0"/>
          <w:marTop w:val="0"/>
          <w:marBottom w:val="0"/>
          <w:divBdr>
            <w:top w:val="none" w:sz="0" w:space="0" w:color="auto"/>
            <w:left w:val="none" w:sz="0" w:space="0" w:color="auto"/>
            <w:bottom w:val="none" w:sz="0" w:space="0" w:color="auto"/>
            <w:right w:val="none" w:sz="0" w:space="0" w:color="auto"/>
          </w:divBdr>
        </w:div>
      </w:divsChild>
    </w:div>
    <w:div w:id="626281095">
      <w:bodyDiv w:val="1"/>
      <w:marLeft w:val="0"/>
      <w:marRight w:val="0"/>
      <w:marTop w:val="0"/>
      <w:marBottom w:val="0"/>
      <w:divBdr>
        <w:top w:val="none" w:sz="0" w:space="0" w:color="auto"/>
        <w:left w:val="none" w:sz="0" w:space="0" w:color="auto"/>
        <w:bottom w:val="none" w:sz="0" w:space="0" w:color="auto"/>
        <w:right w:val="none" w:sz="0" w:space="0" w:color="auto"/>
      </w:divBdr>
    </w:div>
    <w:div w:id="651442867">
      <w:bodyDiv w:val="1"/>
      <w:marLeft w:val="0"/>
      <w:marRight w:val="0"/>
      <w:marTop w:val="0"/>
      <w:marBottom w:val="0"/>
      <w:divBdr>
        <w:top w:val="none" w:sz="0" w:space="0" w:color="auto"/>
        <w:left w:val="none" w:sz="0" w:space="0" w:color="auto"/>
        <w:bottom w:val="none" w:sz="0" w:space="0" w:color="auto"/>
        <w:right w:val="none" w:sz="0" w:space="0" w:color="auto"/>
      </w:divBdr>
    </w:div>
    <w:div w:id="656035508">
      <w:bodyDiv w:val="1"/>
      <w:marLeft w:val="0"/>
      <w:marRight w:val="0"/>
      <w:marTop w:val="0"/>
      <w:marBottom w:val="0"/>
      <w:divBdr>
        <w:top w:val="none" w:sz="0" w:space="0" w:color="auto"/>
        <w:left w:val="none" w:sz="0" w:space="0" w:color="auto"/>
        <w:bottom w:val="none" w:sz="0" w:space="0" w:color="auto"/>
        <w:right w:val="none" w:sz="0" w:space="0" w:color="auto"/>
      </w:divBdr>
    </w:div>
    <w:div w:id="675229042">
      <w:bodyDiv w:val="1"/>
      <w:marLeft w:val="0"/>
      <w:marRight w:val="0"/>
      <w:marTop w:val="0"/>
      <w:marBottom w:val="0"/>
      <w:divBdr>
        <w:top w:val="none" w:sz="0" w:space="0" w:color="auto"/>
        <w:left w:val="none" w:sz="0" w:space="0" w:color="auto"/>
        <w:bottom w:val="none" w:sz="0" w:space="0" w:color="auto"/>
        <w:right w:val="none" w:sz="0" w:space="0" w:color="auto"/>
      </w:divBdr>
    </w:div>
    <w:div w:id="678502438">
      <w:bodyDiv w:val="1"/>
      <w:marLeft w:val="0"/>
      <w:marRight w:val="0"/>
      <w:marTop w:val="0"/>
      <w:marBottom w:val="0"/>
      <w:divBdr>
        <w:top w:val="none" w:sz="0" w:space="0" w:color="auto"/>
        <w:left w:val="none" w:sz="0" w:space="0" w:color="auto"/>
        <w:bottom w:val="none" w:sz="0" w:space="0" w:color="auto"/>
        <w:right w:val="none" w:sz="0" w:space="0" w:color="auto"/>
      </w:divBdr>
    </w:div>
    <w:div w:id="689797579">
      <w:bodyDiv w:val="1"/>
      <w:marLeft w:val="0"/>
      <w:marRight w:val="0"/>
      <w:marTop w:val="0"/>
      <w:marBottom w:val="0"/>
      <w:divBdr>
        <w:top w:val="none" w:sz="0" w:space="0" w:color="auto"/>
        <w:left w:val="none" w:sz="0" w:space="0" w:color="auto"/>
        <w:bottom w:val="none" w:sz="0" w:space="0" w:color="auto"/>
        <w:right w:val="none" w:sz="0" w:space="0" w:color="auto"/>
      </w:divBdr>
    </w:div>
    <w:div w:id="692998588">
      <w:bodyDiv w:val="1"/>
      <w:marLeft w:val="0"/>
      <w:marRight w:val="0"/>
      <w:marTop w:val="0"/>
      <w:marBottom w:val="0"/>
      <w:divBdr>
        <w:top w:val="none" w:sz="0" w:space="0" w:color="auto"/>
        <w:left w:val="none" w:sz="0" w:space="0" w:color="auto"/>
        <w:bottom w:val="none" w:sz="0" w:space="0" w:color="auto"/>
        <w:right w:val="none" w:sz="0" w:space="0" w:color="auto"/>
      </w:divBdr>
    </w:div>
    <w:div w:id="701246924">
      <w:bodyDiv w:val="1"/>
      <w:marLeft w:val="0"/>
      <w:marRight w:val="0"/>
      <w:marTop w:val="0"/>
      <w:marBottom w:val="0"/>
      <w:divBdr>
        <w:top w:val="none" w:sz="0" w:space="0" w:color="auto"/>
        <w:left w:val="none" w:sz="0" w:space="0" w:color="auto"/>
        <w:bottom w:val="none" w:sz="0" w:space="0" w:color="auto"/>
        <w:right w:val="none" w:sz="0" w:space="0" w:color="auto"/>
      </w:divBdr>
    </w:div>
    <w:div w:id="721372283">
      <w:bodyDiv w:val="1"/>
      <w:marLeft w:val="0"/>
      <w:marRight w:val="0"/>
      <w:marTop w:val="0"/>
      <w:marBottom w:val="0"/>
      <w:divBdr>
        <w:top w:val="none" w:sz="0" w:space="0" w:color="auto"/>
        <w:left w:val="none" w:sz="0" w:space="0" w:color="auto"/>
        <w:bottom w:val="none" w:sz="0" w:space="0" w:color="auto"/>
        <w:right w:val="none" w:sz="0" w:space="0" w:color="auto"/>
      </w:divBdr>
    </w:div>
    <w:div w:id="728190116">
      <w:bodyDiv w:val="1"/>
      <w:marLeft w:val="0"/>
      <w:marRight w:val="0"/>
      <w:marTop w:val="0"/>
      <w:marBottom w:val="0"/>
      <w:divBdr>
        <w:top w:val="none" w:sz="0" w:space="0" w:color="auto"/>
        <w:left w:val="none" w:sz="0" w:space="0" w:color="auto"/>
        <w:bottom w:val="none" w:sz="0" w:space="0" w:color="auto"/>
        <w:right w:val="none" w:sz="0" w:space="0" w:color="auto"/>
      </w:divBdr>
    </w:div>
    <w:div w:id="731658707">
      <w:bodyDiv w:val="1"/>
      <w:marLeft w:val="0"/>
      <w:marRight w:val="0"/>
      <w:marTop w:val="0"/>
      <w:marBottom w:val="0"/>
      <w:divBdr>
        <w:top w:val="none" w:sz="0" w:space="0" w:color="auto"/>
        <w:left w:val="none" w:sz="0" w:space="0" w:color="auto"/>
        <w:bottom w:val="none" w:sz="0" w:space="0" w:color="auto"/>
        <w:right w:val="none" w:sz="0" w:space="0" w:color="auto"/>
      </w:divBdr>
    </w:div>
    <w:div w:id="738090388">
      <w:bodyDiv w:val="1"/>
      <w:marLeft w:val="0"/>
      <w:marRight w:val="0"/>
      <w:marTop w:val="0"/>
      <w:marBottom w:val="0"/>
      <w:divBdr>
        <w:top w:val="none" w:sz="0" w:space="0" w:color="auto"/>
        <w:left w:val="none" w:sz="0" w:space="0" w:color="auto"/>
        <w:bottom w:val="none" w:sz="0" w:space="0" w:color="auto"/>
        <w:right w:val="none" w:sz="0" w:space="0" w:color="auto"/>
      </w:divBdr>
    </w:div>
    <w:div w:id="738788051">
      <w:bodyDiv w:val="1"/>
      <w:marLeft w:val="0"/>
      <w:marRight w:val="0"/>
      <w:marTop w:val="0"/>
      <w:marBottom w:val="0"/>
      <w:divBdr>
        <w:top w:val="none" w:sz="0" w:space="0" w:color="auto"/>
        <w:left w:val="none" w:sz="0" w:space="0" w:color="auto"/>
        <w:bottom w:val="none" w:sz="0" w:space="0" w:color="auto"/>
        <w:right w:val="none" w:sz="0" w:space="0" w:color="auto"/>
      </w:divBdr>
    </w:div>
    <w:div w:id="785582723">
      <w:bodyDiv w:val="1"/>
      <w:marLeft w:val="0"/>
      <w:marRight w:val="0"/>
      <w:marTop w:val="0"/>
      <w:marBottom w:val="0"/>
      <w:divBdr>
        <w:top w:val="none" w:sz="0" w:space="0" w:color="auto"/>
        <w:left w:val="none" w:sz="0" w:space="0" w:color="auto"/>
        <w:bottom w:val="none" w:sz="0" w:space="0" w:color="auto"/>
        <w:right w:val="none" w:sz="0" w:space="0" w:color="auto"/>
      </w:divBdr>
    </w:div>
    <w:div w:id="812674130">
      <w:bodyDiv w:val="1"/>
      <w:marLeft w:val="0"/>
      <w:marRight w:val="0"/>
      <w:marTop w:val="0"/>
      <w:marBottom w:val="0"/>
      <w:divBdr>
        <w:top w:val="none" w:sz="0" w:space="0" w:color="auto"/>
        <w:left w:val="none" w:sz="0" w:space="0" w:color="auto"/>
        <w:bottom w:val="none" w:sz="0" w:space="0" w:color="auto"/>
        <w:right w:val="none" w:sz="0" w:space="0" w:color="auto"/>
      </w:divBdr>
    </w:div>
    <w:div w:id="833569595">
      <w:bodyDiv w:val="1"/>
      <w:marLeft w:val="0"/>
      <w:marRight w:val="0"/>
      <w:marTop w:val="0"/>
      <w:marBottom w:val="0"/>
      <w:divBdr>
        <w:top w:val="none" w:sz="0" w:space="0" w:color="auto"/>
        <w:left w:val="none" w:sz="0" w:space="0" w:color="auto"/>
        <w:bottom w:val="none" w:sz="0" w:space="0" w:color="auto"/>
        <w:right w:val="none" w:sz="0" w:space="0" w:color="auto"/>
      </w:divBdr>
      <w:divsChild>
        <w:div w:id="1121025431">
          <w:marLeft w:val="0"/>
          <w:marRight w:val="0"/>
          <w:marTop w:val="0"/>
          <w:marBottom w:val="0"/>
          <w:divBdr>
            <w:top w:val="none" w:sz="0" w:space="0" w:color="auto"/>
            <w:left w:val="none" w:sz="0" w:space="0" w:color="auto"/>
            <w:bottom w:val="none" w:sz="0" w:space="0" w:color="auto"/>
            <w:right w:val="none" w:sz="0" w:space="0" w:color="auto"/>
          </w:divBdr>
          <w:divsChild>
            <w:div w:id="2057657422">
              <w:marLeft w:val="0"/>
              <w:marRight w:val="0"/>
              <w:marTop w:val="0"/>
              <w:marBottom w:val="0"/>
              <w:divBdr>
                <w:top w:val="none" w:sz="0" w:space="0" w:color="auto"/>
                <w:left w:val="none" w:sz="0" w:space="0" w:color="auto"/>
                <w:bottom w:val="none" w:sz="0" w:space="0" w:color="auto"/>
                <w:right w:val="none" w:sz="0" w:space="0" w:color="auto"/>
              </w:divBdr>
              <w:divsChild>
                <w:div w:id="19487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3504">
      <w:bodyDiv w:val="1"/>
      <w:marLeft w:val="0"/>
      <w:marRight w:val="0"/>
      <w:marTop w:val="0"/>
      <w:marBottom w:val="0"/>
      <w:divBdr>
        <w:top w:val="none" w:sz="0" w:space="0" w:color="auto"/>
        <w:left w:val="none" w:sz="0" w:space="0" w:color="auto"/>
        <w:bottom w:val="none" w:sz="0" w:space="0" w:color="auto"/>
        <w:right w:val="none" w:sz="0" w:space="0" w:color="auto"/>
      </w:divBdr>
    </w:div>
    <w:div w:id="921988340">
      <w:bodyDiv w:val="1"/>
      <w:marLeft w:val="0"/>
      <w:marRight w:val="0"/>
      <w:marTop w:val="0"/>
      <w:marBottom w:val="0"/>
      <w:divBdr>
        <w:top w:val="none" w:sz="0" w:space="0" w:color="auto"/>
        <w:left w:val="none" w:sz="0" w:space="0" w:color="auto"/>
        <w:bottom w:val="none" w:sz="0" w:space="0" w:color="auto"/>
        <w:right w:val="none" w:sz="0" w:space="0" w:color="auto"/>
      </w:divBdr>
    </w:div>
    <w:div w:id="965238010">
      <w:bodyDiv w:val="1"/>
      <w:marLeft w:val="0"/>
      <w:marRight w:val="0"/>
      <w:marTop w:val="0"/>
      <w:marBottom w:val="0"/>
      <w:divBdr>
        <w:top w:val="none" w:sz="0" w:space="0" w:color="auto"/>
        <w:left w:val="none" w:sz="0" w:space="0" w:color="auto"/>
        <w:bottom w:val="none" w:sz="0" w:space="0" w:color="auto"/>
        <w:right w:val="none" w:sz="0" w:space="0" w:color="auto"/>
      </w:divBdr>
    </w:div>
    <w:div w:id="978993561">
      <w:bodyDiv w:val="1"/>
      <w:marLeft w:val="0"/>
      <w:marRight w:val="0"/>
      <w:marTop w:val="0"/>
      <w:marBottom w:val="0"/>
      <w:divBdr>
        <w:top w:val="none" w:sz="0" w:space="0" w:color="auto"/>
        <w:left w:val="none" w:sz="0" w:space="0" w:color="auto"/>
        <w:bottom w:val="none" w:sz="0" w:space="0" w:color="auto"/>
        <w:right w:val="none" w:sz="0" w:space="0" w:color="auto"/>
      </w:divBdr>
    </w:div>
    <w:div w:id="1005013954">
      <w:bodyDiv w:val="1"/>
      <w:marLeft w:val="0"/>
      <w:marRight w:val="0"/>
      <w:marTop w:val="0"/>
      <w:marBottom w:val="0"/>
      <w:divBdr>
        <w:top w:val="none" w:sz="0" w:space="0" w:color="auto"/>
        <w:left w:val="none" w:sz="0" w:space="0" w:color="auto"/>
        <w:bottom w:val="none" w:sz="0" w:space="0" w:color="auto"/>
        <w:right w:val="none" w:sz="0" w:space="0" w:color="auto"/>
      </w:divBdr>
      <w:divsChild>
        <w:div w:id="1807816127">
          <w:marLeft w:val="0"/>
          <w:marRight w:val="0"/>
          <w:marTop w:val="0"/>
          <w:marBottom w:val="0"/>
          <w:divBdr>
            <w:top w:val="none" w:sz="0" w:space="0" w:color="auto"/>
            <w:left w:val="none" w:sz="0" w:space="0" w:color="auto"/>
            <w:bottom w:val="none" w:sz="0" w:space="0" w:color="auto"/>
            <w:right w:val="none" w:sz="0" w:space="0" w:color="auto"/>
          </w:divBdr>
          <w:divsChild>
            <w:div w:id="1296060885">
              <w:marLeft w:val="0"/>
              <w:marRight w:val="0"/>
              <w:marTop w:val="0"/>
              <w:marBottom w:val="0"/>
              <w:divBdr>
                <w:top w:val="none" w:sz="0" w:space="0" w:color="auto"/>
                <w:left w:val="none" w:sz="0" w:space="0" w:color="auto"/>
                <w:bottom w:val="none" w:sz="0" w:space="0" w:color="auto"/>
                <w:right w:val="none" w:sz="0" w:space="0" w:color="auto"/>
              </w:divBdr>
              <w:divsChild>
                <w:div w:id="1638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5679">
      <w:bodyDiv w:val="1"/>
      <w:marLeft w:val="0"/>
      <w:marRight w:val="0"/>
      <w:marTop w:val="0"/>
      <w:marBottom w:val="0"/>
      <w:divBdr>
        <w:top w:val="none" w:sz="0" w:space="0" w:color="auto"/>
        <w:left w:val="none" w:sz="0" w:space="0" w:color="auto"/>
        <w:bottom w:val="none" w:sz="0" w:space="0" w:color="auto"/>
        <w:right w:val="none" w:sz="0" w:space="0" w:color="auto"/>
      </w:divBdr>
    </w:div>
    <w:div w:id="1014847992">
      <w:bodyDiv w:val="1"/>
      <w:marLeft w:val="0"/>
      <w:marRight w:val="0"/>
      <w:marTop w:val="0"/>
      <w:marBottom w:val="0"/>
      <w:divBdr>
        <w:top w:val="none" w:sz="0" w:space="0" w:color="auto"/>
        <w:left w:val="none" w:sz="0" w:space="0" w:color="auto"/>
        <w:bottom w:val="none" w:sz="0" w:space="0" w:color="auto"/>
        <w:right w:val="none" w:sz="0" w:space="0" w:color="auto"/>
      </w:divBdr>
    </w:div>
    <w:div w:id="1015576555">
      <w:bodyDiv w:val="1"/>
      <w:marLeft w:val="0"/>
      <w:marRight w:val="0"/>
      <w:marTop w:val="0"/>
      <w:marBottom w:val="0"/>
      <w:divBdr>
        <w:top w:val="none" w:sz="0" w:space="0" w:color="auto"/>
        <w:left w:val="none" w:sz="0" w:space="0" w:color="auto"/>
        <w:bottom w:val="none" w:sz="0" w:space="0" w:color="auto"/>
        <w:right w:val="none" w:sz="0" w:space="0" w:color="auto"/>
      </w:divBdr>
      <w:divsChild>
        <w:div w:id="416294462">
          <w:marLeft w:val="0"/>
          <w:marRight w:val="0"/>
          <w:marTop w:val="0"/>
          <w:marBottom w:val="0"/>
          <w:divBdr>
            <w:top w:val="none" w:sz="0" w:space="0" w:color="auto"/>
            <w:left w:val="none" w:sz="0" w:space="0" w:color="auto"/>
            <w:bottom w:val="none" w:sz="0" w:space="0" w:color="auto"/>
            <w:right w:val="none" w:sz="0" w:space="0" w:color="auto"/>
          </w:divBdr>
        </w:div>
      </w:divsChild>
    </w:div>
    <w:div w:id="1064985746">
      <w:bodyDiv w:val="1"/>
      <w:marLeft w:val="0"/>
      <w:marRight w:val="0"/>
      <w:marTop w:val="0"/>
      <w:marBottom w:val="0"/>
      <w:divBdr>
        <w:top w:val="none" w:sz="0" w:space="0" w:color="auto"/>
        <w:left w:val="none" w:sz="0" w:space="0" w:color="auto"/>
        <w:bottom w:val="none" w:sz="0" w:space="0" w:color="auto"/>
        <w:right w:val="none" w:sz="0" w:space="0" w:color="auto"/>
      </w:divBdr>
    </w:div>
    <w:div w:id="1098671103">
      <w:bodyDiv w:val="1"/>
      <w:marLeft w:val="0"/>
      <w:marRight w:val="0"/>
      <w:marTop w:val="0"/>
      <w:marBottom w:val="0"/>
      <w:divBdr>
        <w:top w:val="none" w:sz="0" w:space="0" w:color="auto"/>
        <w:left w:val="none" w:sz="0" w:space="0" w:color="auto"/>
        <w:bottom w:val="none" w:sz="0" w:space="0" w:color="auto"/>
        <w:right w:val="none" w:sz="0" w:space="0" w:color="auto"/>
      </w:divBdr>
    </w:div>
    <w:div w:id="1121801538">
      <w:bodyDiv w:val="1"/>
      <w:marLeft w:val="0"/>
      <w:marRight w:val="0"/>
      <w:marTop w:val="0"/>
      <w:marBottom w:val="0"/>
      <w:divBdr>
        <w:top w:val="none" w:sz="0" w:space="0" w:color="auto"/>
        <w:left w:val="none" w:sz="0" w:space="0" w:color="auto"/>
        <w:bottom w:val="none" w:sz="0" w:space="0" w:color="auto"/>
        <w:right w:val="none" w:sz="0" w:space="0" w:color="auto"/>
      </w:divBdr>
    </w:div>
    <w:div w:id="1122267641">
      <w:bodyDiv w:val="1"/>
      <w:marLeft w:val="0"/>
      <w:marRight w:val="0"/>
      <w:marTop w:val="0"/>
      <w:marBottom w:val="0"/>
      <w:divBdr>
        <w:top w:val="none" w:sz="0" w:space="0" w:color="auto"/>
        <w:left w:val="none" w:sz="0" w:space="0" w:color="auto"/>
        <w:bottom w:val="none" w:sz="0" w:space="0" w:color="auto"/>
        <w:right w:val="none" w:sz="0" w:space="0" w:color="auto"/>
      </w:divBdr>
    </w:div>
    <w:div w:id="1126971843">
      <w:bodyDiv w:val="1"/>
      <w:marLeft w:val="0"/>
      <w:marRight w:val="0"/>
      <w:marTop w:val="0"/>
      <w:marBottom w:val="0"/>
      <w:divBdr>
        <w:top w:val="none" w:sz="0" w:space="0" w:color="auto"/>
        <w:left w:val="none" w:sz="0" w:space="0" w:color="auto"/>
        <w:bottom w:val="none" w:sz="0" w:space="0" w:color="auto"/>
        <w:right w:val="none" w:sz="0" w:space="0" w:color="auto"/>
      </w:divBdr>
      <w:divsChild>
        <w:div w:id="1485659815">
          <w:marLeft w:val="0"/>
          <w:marRight w:val="0"/>
          <w:marTop w:val="0"/>
          <w:marBottom w:val="0"/>
          <w:divBdr>
            <w:top w:val="none" w:sz="0" w:space="0" w:color="auto"/>
            <w:left w:val="none" w:sz="0" w:space="0" w:color="auto"/>
            <w:bottom w:val="none" w:sz="0" w:space="0" w:color="auto"/>
            <w:right w:val="none" w:sz="0" w:space="0" w:color="auto"/>
          </w:divBdr>
          <w:divsChild>
            <w:div w:id="1043943208">
              <w:marLeft w:val="0"/>
              <w:marRight w:val="0"/>
              <w:marTop w:val="0"/>
              <w:marBottom w:val="0"/>
              <w:divBdr>
                <w:top w:val="none" w:sz="0" w:space="0" w:color="auto"/>
                <w:left w:val="none" w:sz="0" w:space="0" w:color="auto"/>
                <w:bottom w:val="none" w:sz="0" w:space="0" w:color="auto"/>
                <w:right w:val="none" w:sz="0" w:space="0" w:color="auto"/>
              </w:divBdr>
              <w:divsChild>
                <w:div w:id="6022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2081">
      <w:bodyDiv w:val="1"/>
      <w:marLeft w:val="0"/>
      <w:marRight w:val="0"/>
      <w:marTop w:val="0"/>
      <w:marBottom w:val="0"/>
      <w:divBdr>
        <w:top w:val="none" w:sz="0" w:space="0" w:color="auto"/>
        <w:left w:val="none" w:sz="0" w:space="0" w:color="auto"/>
        <w:bottom w:val="none" w:sz="0" w:space="0" w:color="auto"/>
        <w:right w:val="none" w:sz="0" w:space="0" w:color="auto"/>
      </w:divBdr>
      <w:divsChild>
        <w:div w:id="1346327458">
          <w:marLeft w:val="0"/>
          <w:marRight w:val="0"/>
          <w:marTop w:val="0"/>
          <w:marBottom w:val="0"/>
          <w:divBdr>
            <w:top w:val="none" w:sz="0" w:space="0" w:color="auto"/>
            <w:left w:val="none" w:sz="0" w:space="0" w:color="auto"/>
            <w:bottom w:val="none" w:sz="0" w:space="0" w:color="auto"/>
            <w:right w:val="none" w:sz="0" w:space="0" w:color="auto"/>
          </w:divBdr>
        </w:div>
        <w:div w:id="553390910">
          <w:marLeft w:val="0"/>
          <w:marRight w:val="0"/>
          <w:marTop w:val="0"/>
          <w:marBottom w:val="0"/>
          <w:divBdr>
            <w:top w:val="none" w:sz="0" w:space="0" w:color="auto"/>
            <w:left w:val="none" w:sz="0" w:space="0" w:color="auto"/>
            <w:bottom w:val="none" w:sz="0" w:space="0" w:color="auto"/>
            <w:right w:val="none" w:sz="0" w:space="0" w:color="auto"/>
          </w:divBdr>
        </w:div>
      </w:divsChild>
    </w:div>
    <w:div w:id="1159810356">
      <w:bodyDiv w:val="1"/>
      <w:marLeft w:val="0"/>
      <w:marRight w:val="0"/>
      <w:marTop w:val="0"/>
      <w:marBottom w:val="0"/>
      <w:divBdr>
        <w:top w:val="none" w:sz="0" w:space="0" w:color="auto"/>
        <w:left w:val="none" w:sz="0" w:space="0" w:color="auto"/>
        <w:bottom w:val="none" w:sz="0" w:space="0" w:color="auto"/>
        <w:right w:val="none" w:sz="0" w:space="0" w:color="auto"/>
      </w:divBdr>
    </w:div>
    <w:div w:id="1189830221">
      <w:bodyDiv w:val="1"/>
      <w:marLeft w:val="0"/>
      <w:marRight w:val="0"/>
      <w:marTop w:val="0"/>
      <w:marBottom w:val="0"/>
      <w:divBdr>
        <w:top w:val="none" w:sz="0" w:space="0" w:color="auto"/>
        <w:left w:val="none" w:sz="0" w:space="0" w:color="auto"/>
        <w:bottom w:val="none" w:sz="0" w:space="0" w:color="auto"/>
        <w:right w:val="none" w:sz="0" w:space="0" w:color="auto"/>
      </w:divBdr>
    </w:div>
    <w:div w:id="1277325801">
      <w:bodyDiv w:val="1"/>
      <w:marLeft w:val="0"/>
      <w:marRight w:val="0"/>
      <w:marTop w:val="0"/>
      <w:marBottom w:val="0"/>
      <w:divBdr>
        <w:top w:val="none" w:sz="0" w:space="0" w:color="auto"/>
        <w:left w:val="none" w:sz="0" w:space="0" w:color="auto"/>
        <w:bottom w:val="none" w:sz="0" w:space="0" w:color="auto"/>
        <w:right w:val="none" w:sz="0" w:space="0" w:color="auto"/>
      </w:divBdr>
      <w:divsChild>
        <w:div w:id="1500732514">
          <w:marLeft w:val="0"/>
          <w:marRight w:val="0"/>
          <w:marTop w:val="0"/>
          <w:marBottom w:val="0"/>
          <w:divBdr>
            <w:top w:val="none" w:sz="0" w:space="0" w:color="auto"/>
            <w:left w:val="none" w:sz="0" w:space="0" w:color="auto"/>
            <w:bottom w:val="none" w:sz="0" w:space="0" w:color="auto"/>
            <w:right w:val="none" w:sz="0" w:space="0" w:color="auto"/>
          </w:divBdr>
          <w:divsChild>
            <w:div w:id="2117938074">
              <w:marLeft w:val="0"/>
              <w:marRight w:val="0"/>
              <w:marTop w:val="0"/>
              <w:marBottom w:val="0"/>
              <w:divBdr>
                <w:top w:val="none" w:sz="0" w:space="0" w:color="auto"/>
                <w:left w:val="none" w:sz="0" w:space="0" w:color="auto"/>
                <w:bottom w:val="none" w:sz="0" w:space="0" w:color="auto"/>
                <w:right w:val="none" w:sz="0" w:space="0" w:color="auto"/>
              </w:divBdr>
              <w:divsChild>
                <w:div w:id="1558013122">
                  <w:marLeft w:val="0"/>
                  <w:marRight w:val="0"/>
                  <w:marTop w:val="0"/>
                  <w:marBottom w:val="0"/>
                  <w:divBdr>
                    <w:top w:val="none" w:sz="0" w:space="0" w:color="auto"/>
                    <w:left w:val="none" w:sz="0" w:space="0" w:color="auto"/>
                    <w:bottom w:val="none" w:sz="0" w:space="0" w:color="auto"/>
                    <w:right w:val="none" w:sz="0" w:space="0" w:color="auto"/>
                  </w:divBdr>
                  <w:divsChild>
                    <w:div w:id="5693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0841">
      <w:bodyDiv w:val="1"/>
      <w:marLeft w:val="0"/>
      <w:marRight w:val="0"/>
      <w:marTop w:val="0"/>
      <w:marBottom w:val="0"/>
      <w:divBdr>
        <w:top w:val="none" w:sz="0" w:space="0" w:color="auto"/>
        <w:left w:val="none" w:sz="0" w:space="0" w:color="auto"/>
        <w:bottom w:val="none" w:sz="0" w:space="0" w:color="auto"/>
        <w:right w:val="none" w:sz="0" w:space="0" w:color="auto"/>
      </w:divBdr>
    </w:div>
    <w:div w:id="1307203782">
      <w:bodyDiv w:val="1"/>
      <w:marLeft w:val="0"/>
      <w:marRight w:val="0"/>
      <w:marTop w:val="0"/>
      <w:marBottom w:val="0"/>
      <w:divBdr>
        <w:top w:val="none" w:sz="0" w:space="0" w:color="auto"/>
        <w:left w:val="none" w:sz="0" w:space="0" w:color="auto"/>
        <w:bottom w:val="none" w:sz="0" w:space="0" w:color="auto"/>
        <w:right w:val="none" w:sz="0" w:space="0" w:color="auto"/>
      </w:divBdr>
    </w:div>
    <w:div w:id="1312758638">
      <w:bodyDiv w:val="1"/>
      <w:marLeft w:val="0"/>
      <w:marRight w:val="0"/>
      <w:marTop w:val="0"/>
      <w:marBottom w:val="0"/>
      <w:divBdr>
        <w:top w:val="none" w:sz="0" w:space="0" w:color="auto"/>
        <w:left w:val="none" w:sz="0" w:space="0" w:color="auto"/>
        <w:bottom w:val="none" w:sz="0" w:space="0" w:color="auto"/>
        <w:right w:val="none" w:sz="0" w:space="0" w:color="auto"/>
      </w:divBdr>
    </w:div>
    <w:div w:id="1319924738">
      <w:bodyDiv w:val="1"/>
      <w:marLeft w:val="0"/>
      <w:marRight w:val="0"/>
      <w:marTop w:val="0"/>
      <w:marBottom w:val="0"/>
      <w:divBdr>
        <w:top w:val="none" w:sz="0" w:space="0" w:color="auto"/>
        <w:left w:val="none" w:sz="0" w:space="0" w:color="auto"/>
        <w:bottom w:val="none" w:sz="0" w:space="0" w:color="auto"/>
        <w:right w:val="none" w:sz="0" w:space="0" w:color="auto"/>
      </w:divBdr>
      <w:divsChild>
        <w:div w:id="1893542280">
          <w:marLeft w:val="0"/>
          <w:marRight w:val="0"/>
          <w:marTop w:val="0"/>
          <w:marBottom w:val="0"/>
          <w:divBdr>
            <w:top w:val="none" w:sz="0" w:space="0" w:color="auto"/>
            <w:left w:val="none" w:sz="0" w:space="0" w:color="auto"/>
            <w:bottom w:val="none" w:sz="0" w:space="0" w:color="auto"/>
            <w:right w:val="none" w:sz="0" w:space="0" w:color="auto"/>
          </w:divBdr>
          <w:divsChild>
            <w:div w:id="1672948148">
              <w:marLeft w:val="0"/>
              <w:marRight w:val="0"/>
              <w:marTop w:val="0"/>
              <w:marBottom w:val="0"/>
              <w:divBdr>
                <w:top w:val="none" w:sz="0" w:space="0" w:color="auto"/>
                <w:left w:val="none" w:sz="0" w:space="0" w:color="auto"/>
                <w:bottom w:val="none" w:sz="0" w:space="0" w:color="auto"/>
                <w:right w:val="none" w:sz="0" w:space="0" w:color="auto"/>
              </w:divBdr>
              <w:divsChild>
                <w:div w:id="12597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30589">
      <w:bodyDiv w:val="1"/>
      <w:marLeft w:val="0"/>
      <w:marRight w:val="0"/>
      <w:marTop w:val="0"/>
      <w:marBottom w:val="0"/>
      <w:divBdr>
        <w:top w:val="none" w:sz="0" w:space="0" w:color="auto"/>
        <w:left w:val="none" w:sz="0" w:space="0" w:color="auto"/>
        <w:bottom w:val="none" w:sz="0" w:space="0" w:color="auto"/>
        <w:right w:val="none" w:sz="0" w:space="0" w:color="auto"/>
      </w:divBdr>
    </w:div>
    <w:div w:id="1325015462">
      <w:bodyDiv w:val="1"/>
      <w:marLeft w:val="0"/>
      <w:marRight w:val="0"/>
      <w:marTop w:val="0"/>
      <w:marBottom w:val="0"/>
      <w:divBdr>
        <w:top w:val="none" w:sz="0" w:space="0" w:color="auto"/>
        <w:left w:val="none" w:sz="0" w:space="0" w:color="auto"/>
        <w:bottom w:val="none" w:sz="0" w:space="0" w:color="auto"/>
        <w:right w:val="none" w:sz="0" w:space="0" w:color="auto"/>
      </w:divBdr>
    </w:div>
    <w:div w:id="1349598855">
      <w:bodyDiv w:val="1"/>
      <w:marLeft w:val="0"/>
      <w:marRight w:val="0"/>
      <w:marTop w:val="0"/>
      <w:marBottom w:val="0"/>
      <w:divBdr>
        <w:top w:val="none" w:sz="0" w:space="0" w:color="auto"/>
        <w:left w:val="none" w:sz="0" w:space="0" w:color="auto"/>
        <w:bottom w:val="none" w:sz="0" w:space="0" w:color="auto"/>
        <w:right w:val="none" w:sz="0" w:space="0" w:color="auto"/>
      </w:divBdr>
    </w:div>
    <w:div w:id="1363625751">
      <w:bodyDiv w:val="1"/>
      <w:marLeft w:val="0"/>
      <w:marRight w:val="0"/>
      <w:marTop w:val="0"/>
      <w:marBottom w:val="0"/>
      <w:divBdr>
        <w:top w:val="none" w:sz="0" w:space="0" w:color="auto"/>
        <w:left w:val="none" w:sz="0" w:space="0" w:color="auto"/>
        <w:bottom w:val="none" w:sz="0" w:space="0" w:color="auto"/>
        <w:right w:val="none" w:sz="0" w:space="0" w:color="auto"/>
      </w:divBdr>
    </w:div>
    <w:div w:id="1363676154">
      <w:bodyDiv w:val="1"/>
      <w:marLeft w:val="0"/>
      <w:marRight w:val="0"/>
      <w:marTop w:val="0"/>
      <w:marBottom w:val="0"/>
      <w:divBdr>
        <w:top w:val="none" w:sz="0" w:space="0" w:color="auto"/>
        <w:left w:val="none" w:sz="0" w:space="0" w:color="auto"/>
        <w:bottom w:val="none" w:sz="0" w:space="0" w:color="auto"/>
        <w:right w:val="none" w:sz="0" w:space="0" w:color="auto"/>
      </w:divBdr>
    </w:div>
    <w:div w:id="1364672019">
      <w:bodyDiv w:val="1"/>
      <w:marLeft w:val="0"/>
      <w:marRight w:val="0"/>
      <w:marTop w:val="0"/>
      <w:marBottom w:val="0"/>
      <w:divBdr>
        <w:top w:val="none" w:sz="0" w:space="0" w:color="auto"/>
        <w:left w:val="none" w:sz="0" w:space="0" w:color="auto"/>
        <w:bottom w:val="none" w:sz="0" w:space="0" w:color="auto"/>
        <w:right w:val="none" w:sz="0" w:space="0" w:color="auto"/>
      </w:divBdr>
      <w:divsChild>
        <w:div w:id="139033404">
          <w:marLeft w:val="0"/>
          <w:marRight w:val="0"/>
          <w:marTop w:val="0"/>
          <w:marBottom w:val="0"/>
          <w:divBdr>
            <w:top w:val="none" w:sz="0" w:space="0" w:color="auto"/>
            <w:left w:val="none" w:sz="0" w:space="0" w:color="auto"/>
            <w:bottom w:val="none" w:sz="0" w:space="0" w:color="auto"/>
            <w:right w:val="none" w:sz="0" w:space="0" w:color="auto"/>
          </w:divBdr>
          <w:divsChild>
            <w:div w:id="1408645364">
              <w:marLeft w:val="0"/>
              <w:marRight w:val="0"/>
              <w:marTop w:val="0"/>
              <w:marBottom w:val="0"/>
              <w:divBdr>
                <w:top w:val="none" w:sz="0" w:space="0" w:color="auto"/>
                <w:left w:val="none" w:sz="0" w:space="0" w:color="auto"/>
                <w:bottom w:val="none" w:sz="0" w:space="0" w:color="auto"/>
                <w:right w:val="none" w:sz="0" w:space="0" w:color="auto"/>
              </w:divBdr>
              <w:divsChild>
                <w:div w:id="19301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1994">
      <w:bodyDiv w:val="1"/>
      <w:marLeft w:val="0"/>
      <w:marRight w:val="0"/>
      <w:marTop w:val="0"/>
      <w:marBottom w:val="0"/>
      <w:divBdr>
        <w:top w:val="none" w:sz="0" w:space="0" w:color="auto"/>
        <w:left w:val="none" w:sz="0" w:space="0" w:color="auto"/>
        <w:bottom w:val="none" w:sz="0" w:space="0" w:color="auto"/>
        <w:right w:val="none" w:sz="0" w:space="0" w:color="auto"/>
      </w:divBdr>
    </w:div>
    <w:div w:id="1394044306">
      <w:bodyDiv w:val="1"/>
      <w:marLeft w:val="0"/>
      <w:marRight w:val="0"/>
      <w:marTop w:val="0"/>
      <w:marBottom w:val="0"/>
      <w:divBdr>
        <w:top w:val="none" w:sz="0" w:space="0" w:color="auto"/>
        <w:left w:val="none" w:sz="0" w:space="0" w:color="auto"/>
        <w:bottom w:val="none" w:sz="0" w:space="0" w:color="auto"/>
        <w:right w:val="none" w:sz="0" w:space="0" w:color="auto"/>
      </w:divBdr>
    </w:div>
    <w:div w:id="1404183152">
      <w:bodyDiv w:val="1"/>
      <w:marLeft w:val="0"/>
      <w:marRight w:val="0"/>
      <w:marTop w:val="0"/>
      <w:marBottom w:val="0"/>
      <w:divBdr>
        <w:top w:val="none" w:sz="0" w:space="0" w:color="auto"/>
        <w:left w:val="none" w:sz="0" w:space="0" w:color="auto"/>
        <w:bottom w:val="none" w:sz="0" w:space="0" w:color="auto"/>
        <w:right w:val="none" w:sz="0" w:space="0" w:color="auto"/>
      </w:divBdr>
    </w:div>
    <w:div w:id="1404257678">
      <w:bodyDiv w:val="1"/>
      <w:marLeft w:val="0"/>
      <w:marRight w:val="0"/>
      <w:marTop w:val="0"/>
      <w:marBottom w:val="0"/>
      <w:divBdr>
        <w:top w:val="none" w:sz="0" w:space="0" w:color="auto"/>
        <w:left w:val="none" w:sz="0" w:space="0" w:color="auto"/>
        <w:bottom w:val="none" w:sz="0" w:space="0" w:color="auto"/>
        <w:right w:val="none" w:sz="0" w:space="0" w:color="auto"/>
      </w:divBdr>
    </w:div>
    <w:div w:id="1404374882">
      <w:bodyDiv w:val="1"/>
      <w:marLeft w:val="0"/>
      <w:marRight w:val="0"/>
      <w:marTop w:val="0"/>
      <w:marBottom w:val="0"/>
      <w:divBdr>
        <w:top w:val="none" w:sz="0" w:space="0" w:color="auto"/>
        <w:left w:val="none" w:sz="0" w:space="0" w:color="auto"/>
        <w:bottom w:val="none" w:sz="0" w:space="0" w:color="auto"/>
        <w:right w:val="none" w:sz="0" w:space="0" w:color="auto"/>
      </w:divBdr>
    </w:div>
    <w:div w:id="1410998245">
      <w:bodyDiv w:val="1"/>
      <w:marLeft w:val="0"/>
      <w:marRight w:val="0"/>
      <w:marTop w:val="0"/>
      <w:marBottom w:val="0"/>
      <w:divBdr>
        <w:top w:val="none" w:sz="0" w:space="0" w:color="auto"/>
        <w:left w:val="none" w:sz="0" w:space="0" w:color="auto"/>
        <w:bottom w:val="none" w:sz="0" w:space="0" w:color="auto"/>
        <w:right w:val="none" w:sz="0" w:space="0" w:color="auto"/>
      </w:divBdr>
    </w:div>
    <w:div w:id="1411344514">
      <w:bodyDiv w:val="1"/>
      <w:marLeft w:val="0"/>
      <w:marRight w:val="0"/>
      <w:marTop w:val="0"/>
      <w:marBottom w:val="0"/>
      <w:divBdr>
        <w:top w:val="none" w:sz="0" w:space="0" w:color="auto"/>
        <w:left w:val="none" w:sz="0" w:space="0" w:color="auto"/>
        <w:bottom w:val="none" w:sz="0" w:space="0" w:color="auto"/>
        <w:right w:val="none" w:sz="0" w:space="0" w:color="auto"/>
      </w:divBdr>
    </w:div>
    <w:div w:id="1419398938">
      <w:bodyDiv w:val="1"/>
      <w:marLeft w:val="0"/>
      <w:marRight w:val="0"/>
      <w:marTop w:val="0"/>
      <w:marBottom w:val="0"/>
      <w:divBdr>
        <w:top w:val="none" w:sz="0" w:space="0" w:color="auto"/>
        <w:left w:val="none" w:sz="0" w:space="0" w:color="auto"/>
        <w:bottom w:val="none" w:sz="0" w:space="0" w:color="auto"/>
        <w:right w:val="none" w:sz="0" w:space="0" w:color="auto"/>
      </w:divBdr>
    </w:div>
    <w:div w:id="1426072406">
      <w:bodyDiv w:val="1"/>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779683758">
              <w:marLeft w:val="0"/>
              <w:marRight w:val="0"/>
              <w:marTop w:val="0"/>
              <w:marBottom w:val="0"/>
              <w:divBdr>
                <w:top w:val="none" w:sz="0" w:space="0" w:color="auto"/>
                <w:left w:val="none" w:sz="0" w:space="0" w:color="auto"/>
                <w:bottom w:val="none" w:sz="0" w:space="0" w:color="auto"/>
                <w:right w:val="none" w:sz="0" w:space="0" w:color="auto"/>
              </w:divBdr>
              <w:divsChild>
                <w:div w:id="1508209516">
                  <w:marLeft w:val="0"/>
                  <w:marRight w:val="0"/>
                  <w:marTop w:val="0"/>
                  <w:marBottom w:val="0"/>
                  <w:divBdr>
                    <w:top w:val="none" w:sz="0" w:space="0" w:color="auto"/>
                    <w:left w:val="none" w:sz="0" w:space="0" w:color="auto"/>
                    <w:bottom w:val="none" w:sz="0" w:space="0" w:color="auto"/>
                    <w:right w:val="none" w:sz="0" w:space="0" w:color="auto"/>
                  </w:divBdr>
                  <w:divsChild>
                    <w:div w:id="1135412060">
                      <w:marLeft w:val="0"/>
                      <w:marRight w:val="0"/>
                      <w:marTop w:val="0"/>
                      <w:marBottom w:val="0"/>
                      <w:divBdr>
                        <w:top w:val="none" w:sz="0" w:space="0" w:color="auto"/>
                        <w:left w:val="none" w:sz="0" w:space="0" w:color="auto"/>
                        <w:bottom w:val="none" w:sz="0" w:space="0" w:color="auto"/>
                        <w:right w:val="none" w:sz="0" w:space="0" w:color="auto"/>
                      </w:divBdr>
                      <w:divsChild>
                        <w:div w:id="8713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7319">
      <w:bodyDiv w:val="1"/>
      <w:marLeft w:val="0"/>
      <w:marRight w:val="0"/>
      <w:marTop w:val="0"/>
      <w:marBottom w:val="0"/>
      <w:divBdr>
        <w:top w:val="none" w:sz="0" w:space="0" w:color="auto"/>
        <w:left w:val="none" w:sz="0" w:space="0" w:color="auto"/>
        <w:bottom w:val="none" w:sz="0" w:space="0" w:color="auto"/>
        <w:right w:val="none" w:sz="0" w:space="0" w:color="auto"/>
      </w:divBdr>
    </w:div>
    <w:div w:id="1434545537">
      <w:bodyDiv w:val="1"/>
      <w:marLeft w:val="0"/>
      <w:marRight w:val="0"/>
      <w:marTop w:val="0"/>
      <w:marBottom w:val="0"/>
      <w:divBdr>
        <w:top w:val="none" w:sz="0" w:space="0" w:color="auto"/>
        <w:left w:val="none" w:sz="0" w:space="0" w:color="auto"/>
        <w:bottom w:val="none" w:sz="0" w:space="0" w:color="auto"/>
        <w:right w:val="none" w:sz="0" w:space="0" w:color="auto"/>
      </w:divBdr>
    </w:div>
    <w:div w:id="1445274203">
      <w:bodyDiv w:val="1"/>
      <w:marLeft w:val="0"/>
      <w:marRight w:val="0"/>
      <w:marTop w:val="0"/>
      <w:marBottom w:val="0"/>
      <w:divBdr>
        <w:top w:val="none" w:sz="0" w:space="0" w:color="auto"/>
        <w:left w:val="none" w:sz="0" w:space="0" w:color="auto"/>
        <w:bottom w:val="none" w:sz="0" w:space="0" w:color="auto"/>
        <w:right w:val="none" w:sz="0" w:space="0" w:color="auto"/>
      </w:divBdr>
    </w:div>
    <w:div w:id="1454595307">
      <w:bodyDiv w:val="1"/>
      <w:marLeft w:val="0"/>
      <w:marRight w:val="0"/>
      <w:marTop w:val="0"/>
      <w:marBottom w:val="0"/>
      <w:divBdr>
        <w:top w:val="none" w:sz="0" w:space="0" w:color="auto"/>
        <w:left w:val="none" w:sz="0" w:space="0" w:color="auto"/>
        <w:bottom w:val="none" w:sz="0" w:space="0" w:color="auto"/>
        <w:right w:val="none" w:sz="0" w:space="0" w:color="auto"/>
      </w:divBdr>
    </w:div>
    <w:div w:id="1474523163">
      <w:bodyDiv w:val="1"/>
      <w:marLeft w:val="0"/>
      <w:marRight w:val="0"/>
      <w:marTop w:val="0"/>
      <w:marBottom w:val="0"/>
      <w:divBdr>
        <w:top w:val="none" w:sz="0" w:space="0" w:color="auto"/>
        <w:left w:val="none" w:sz="0" w:space="0" w:color="auto"/>
        <w:bottom w:val="none" w:sz="0" w:space="0" w:color="auto"/>
        <w:right w:val="none" w:sz="0" w:space="0" w:color="auto"/>
      </w:divBdr>
      <w:divsChild>
        <w:div w:id="1796410815">
          <w:marLeft w:val="0"/>
          <w:marRight w:val="0"/>
          <w:marTop w:val="0"/>
          <w:marBottom w:val="0"/>
          <w:divBdr>
            <w:top w:val="none" w:sz="0" w:space="0" w:color="auto"/>
            <w:left w:val="none" w:sz="0" w:space="0" w:color="auto"/>
            <w:bottom w:val="none" w:sz="0" w:space="0" w:color="auto"/>
            <w:right w:val="none" w:sz="0" w:space="0" w:color="auto"/>
          </w:divBdr>
          <w:divsChild>
            <w:div w:id="887573886">
              <w:marLeft w:val="0"/>
              <w:marRight w:val="0"/>
              <w:marTop w:val="0"/>
              <w:marBottom w:val="0"/>
              <w:divBdr>
                <w:top w:val="none" w:sz="0" w:space="0" w:color="auto"/>
                <w:left w:val="none" w:sz="0" w:space="0" w:color="auto"/>
                <w:bottom w:val="none" w:sz="0" w:space="0" w:color="auto"/>
                <w:right w:val="none" w:sz="0" w:space="0" w:color="auto"/>
              </w:divBdr>
              <w:divsChild>
                <w:div w:id="16436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6370">
      <w:bodyDiv w:val="1"/>
      <w:marLeft w:val="0"/>
      <w:marRight w:val="0"/>
      <w:marTop w:val="0"/>
      <w:marBottom w:val="0"/>
      <w:divBdr>
        <w:top w:val="none" w:sz="0" w:space="0" w:color="auto"/>
        <w:left w:val="none" w:sz="0" w:space="0" w:color="auto"/>
        <w:bottom w:val="none" w:sz="0" w:space="0" w:color="auto"/>
        <w:right w:val="none" w:sz="0" w:space="0" w:color="auto"/>
      </w:divBdr>
    </w:div>
    <w:div w:id="1523590310">
      <w:bodyDiv w:val="1"/>
      <w:marLeft w:val="0"/>
      <w:marRight w:val="0"/>
      <w:marTop w:val="0"/>
      <w:marBottom w:val="0"/>
      <w:divBdr>
        <w:top w:val="none" w:sz="0" w:space="0" w:color="auto"/>
        <w:left w:val="none" w:sz="0" w:space="0" w:color="auto"/>
        <w:bottom w:val="none" w:sz="0" w:space="0" w:color="auto"/>
        <w:right w:val="none" w:sz="0" w:space="0" w:color="auto"/>
      </w:divBdr>
    </w:div>
    <w:div w:id="1557668146">
      <w:bodyDiv w:val="1"/>
      <w:marLeft w:val="0"/>
      <w:marRight w:val="0"/>
      <w:marTop w:val="0"/>
      <w:marBottom w:val="0"/>
      <w:divBdr>
        <w:top w:val="none" w:sz="0" w:space="0" w:color="auto"/>
        <w:left w:val="none" w:sz="0" w:space="0" w:color="auto"/>
        <w:bottom w:val="none" w:sz="0" w:space="0" w:color="auto"/>
        <w:right w:val="none" w:sz="0" w:space="0" w:color="auto"/>
      </w:divBdr>
      <w:divsChild>
        <w:div w:id="182476719">
          <w:marLeft w:val="0"/>
          <w:marRight w:val="0"/>
          <w:marTop w:val="0"/>
          <w:marBottom w:val="0"/>
          <w:divBdr>
            <w:top w:val="none" w:sz="0" w:space="0" w:color="auto"/>
            <w:left w:val="none" w:sz="0" w:space="0" w:color="auto"/>
            <w:bottom w:val="none" w:sz="0" w:space="0" w:color="auto"/>
            <w:right w:val="none" w:sz="0" w:space="0" w:color="auto"/>
          </w:divBdr>
          <w:divsChild>
            <w:div w:id="1559903600">
              <w:marLeft w:val="0"/>
              <w:marRight w:val="0"/>
              <w:marTop w:val="0"/>
              <w:marBottom w:val="0"/>
              <w:divBdr>
                <w:top w:val="none" w:sz="0" w:space="0" w:color="auto"/>
                <w:left w:val="none" w:sz="0" w:space="0" w:color="auto"/>
                <w:bottom w:val="none" w:sz="0" w:space="0" w:color="auto"/>
                <w:right w:val="none" w:sz="0" w:space="0" w:color="auto"/>
              </w:divBdr>
              <w:divsChild>
                <w:div w:id="155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9523">
      <w:bodyDiv w:val="1"/>
      <w:marLeft w:val="0"/>
      <w:marRight w:val="0"/>
      <w:marTop w:val="0"/>
      <w:marBottom w:val="0"/>
      <w:divBdr>
        <w:top w:val="none" w:sz="0" w:space="0" w:color="auto"/>
        <w:left w:val="none" w:sz="0" w:space="0" w:color="auto"/>
        <w:bottom w:val="none" w:sz="0" w:space="0" w:color="auto"/>
        <w:right w:val="none" w:sz="0" w:space="0" w:color="auto"/>
      </w:divBdr>
    </w:div>
    <w:div w:id="1579823107">
      <w:bodyDiv w:val="1"/>
      <w:marLeft w:val="0"/>
      <w:marRight w:val="0"/>
      <w:marTop w:val="0"/>
      <w:marBottom w:val="0"/>
      <w:divBdr>
        <w:top w:val="none" w:sz="0" w:space="0" w:color="auto"/>
        <w:left w:val="none" w:sz="0" w:space="0" w:color="auto"/>
        <w:bottom w:val="none" w:sz="0" w:space="0" w:color="auto"/>
        <w:right w:val="none" w:sz="0" w:space="0" w:color="auto"/>
      </w:divBdr>
    </w:div>
    <w:div w:id="1582762016">
      <w:bodyDiv w:val="1"/>
      <w:marLeft w:val="0"/>
      <w:marRight w:val="0"/>
      <w:marTop w:val="0"/>
      <w:marBottom w:val="0"/>
      <w:divBdr>
        <w:top w:val="none" w:sz="0" w:space="0" w:color="auto"/>
        <w:left w:val="none" w:sz="0" w:space="0" w:color="auto"/>
        <w:bottom w:val="none" w:sz="0" w:space="0" w:color="auto"/>
        <w:right w:val="none" w:sz="0" w:space="0" w:color="auto"/>
      </w:divBdr>
    </w:div>
    <w:div w:id="1615480805">
      <w:bodyDiv w:val="1"/>
      <w:marLeft w:val="0"/>
      <w:marRight w:val="0"/>
      <w:marTop w:val="0"/>
      <w:marBottom w:val="0"/>
      <w:divBdr>
        <w:top w:val="none" w:sz="0" w:space="0" w:color="auto"/>
        <w:left w:val="none" w:sz="0" w:space="0" w:color="auto"/>
        <w:bottom w:val="none" w:sz="0" w:space="0" w:color="auto"/>
        <w:right w:val="none" w:sz="0" w:space="0" w:color="auto"/>
      </w:divBdr>
    </w:div>
    <w:div w:id="1617132239">
      <w:bodyDiv w:val="1"/>
      <w:marLeft w:val="0"/>
      <w:marRight w:val="0"/>
      <w:marTop w:val="0"/>
      <w:marBottom w:val="0"/>
      <w:divBdr>
        <w:top w:val="none" w:sz="0" w:space="0" w:color="auto"/>
        <w:left w:val="none" w:sz="0" w:space="0" w:color="auto"/>
        <w:bottom w:val="none" w:sz="0" w:space="0" w:color="auto"/>
        <w:right w:val="none" w:sz="0" w:space="0" w:color="auto"/>
      </w:divBdr>
    </w:div>
    <w:div w:id="1629164321">
      <w:bodyDiv w:val="1"/>
      <w:marLeft w:val="0"/>
      <w:marRight w:val="0"/>
      <w:marTop w:val="0"/>
      <w:marBottom w:val="0"/>
      <w:divBdr>
        <w:top w:val="none" w:sz="0" w:space="0" w:color="auto"/>
        <w:left w:val="none" w:sz="0" w:space="0" w:color="auto"/>
        <w:bottom w:val="none" w:sz="0" w:space="0" w:color="auto"/>
        <w:right w:val="none" w:sz="0" w:space="0" w:color="auto"/>
      </w:divBdr>
    </w:div>
    <w:div w:id="1640961638">
      <w:bodyDiv w:val="1"/>
      <w:marLeft w:val="0"/>
      <w:marRight w:val="0"/>
      <w:marTop w:val="0"/>
      <w:marBottom w:val="0"/>
      <w:divBdr>
        <w:top w:val="none" w:sz="0" w:space="0" w:color="auto"/>
        <w:left w:val="none" w:sz="0" w:space="0" w:color="auto"/>
        <w:bottom w:val="none" w:sz="0" w:space="0" w:color="auto"/>
        <w:right w:val="none" w:sz="0" w:space="0" w:color="auto"/>
      </w:divBdr>
    </w:div>
    <w:div w:id="1649897842">
      <w:bodyDiv w:val="1"/>
      <w:marLeft w:val="0"/>
      <w:marRight w:val="0"/>
      <w:marTop w:val="0"/>
      <w:marBottom w:val="0"/>
      <w:divBdr>
        <w:top w:val="none" w:sz="0" w:space="0" w:color="auto"/>
        <w:left w:val="none" w:sz="0" w:space="0" w:color="auto"/>
        <w:bottom w:val="none" w:sz="0" w:space="0" w:color="auto"/>
        <w:right w:val="none" w:sz="0" w:space="0" w:color="auto"/>
      </w:divBdr>
      <w:divsChild>
        <w:div w:id="238178420">
          <w:marLeft w:val="0"/>
          <w:marRight w:val="0"/>
          <w:marTop w:val="0"/>
          <w:marBottom w:val="0"/>
          <w:divBdr>
            <w:top w:val="none" w:sz="0" w:space="0" w:color="auto"/>
            <w:left w:val="none" w:sz="0" w:space="0" w:color="auto"/>
            <w:bottom w:val="none" w:sz="0" w:space="0" w:color="auto"/>
            <w:right w:val="none" w:sz="0" w:space="0" w:color="auto"/>
          </w:divBdr>
        </w:div>
        <w:div w:id="1888100280">
          <w:marLeft w:val="0"/>
          <w:marRight w:val="0"/>
          <w:marTop w:val="0"/>
          <w:marBottom w:val="0"/>
          <w:divBdr>
            <w:top w:val="none" w:sz="0" w:space="0" w:color="auto"/>
            <w:left w:val="none" w:sz="0" w:space="0" w:color="auto"/>
            <w:bottom w:val="none" w:sz="0" w:space="0" w:color="auto"/>
            <w:right w:val="none" w:sz="0" w:space="0" w:color="auto"/>
          </w:divBdr>
          <w:divsChild>
            <w:div w:id="304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975">
      <w:bodyDiv w:val="1"/>
      <w:marLeft w:val="0"/>
      <w:marRight w:val="0"/>
      <w:marTop w:val="0"/>
      <w:marBottom w:val="0"/>
      <w:divBdr>
        <w:top w:val="none" w:sz="0" w:space="0" w:color="auto"/>
        <w:left w:val="none" w:sz="0" w:space="0" w:color="auto"/>
        <w:bottom w:val="none" w:sz="0" w:space="0" w:color="auto"/>
        <w:right w:val="none" w:sz="0" w:space="0" w:color="auto"/>
      </w:divBdr>
    </w:div>
    <w:div w:id="1681590057">
      <w:bodyDiv w:val="1"/>
      <w:marLeft w:val="0"/>
      <w:marRight w:val="0"/>
      <w:marTop w:val="0"/>
      <w:marBottom w:val="0"/>
      <w:divBdr>
        <w:top w:val="none" w:sz="0" w:space="0" w:color="auto"/>
        <w:left w:val="none" w:sz="0" w:space="0" w:color="auto"/>
        <w:bottom w:val="none" w:sz="0" w:space="0" w:color="auto"/>
        <w:right w:val="none" w:sz="0" w:space="0" w:color="auto"/>
      </w:divBdr>
    </w:div>
    <w:div w:id="1694109227">
      <w:bodyDiv w:val="1"/>
      <w:marLeft w:val="0"/>
      <w:marRight w:val="0"/>
      <w:marTop w:val="0"/>
      <w:marBottom w:val="0"/>
      <w:divBdr>
        <w:top w:val="none" w:sz="0" w:space="0" w:color="auto"/>
        <w:left w:val="none" w:sz="0" w:space="0" w:color="auto"/>
        <w:bottom w:val="none" w:sz="0" w:space="0" w:color="auto"/>
        <w:right w:val="none" w:sz="0" w:space="0" w:color="auto"/>
      </w:divBdr>
      <w:divsChild>
        <w:div w:id="477965861">
          <w:marLeft w:val="0"/>
          <w:marRight w:val="0"/>
          <w:marTop w:val="0"/>
          <w:marBottom w:val="0"/>
          <w:divBdr>
            <w:top w:val="none" w:sz="0" w:space="0" w:color="auto"/>
            <w:left w:val="none" w:sz="0" w:space="0" w:color="auto"/>
            <w:bottom w:val="none" w:sz="0" w:space="0" w:color="auto"/>
            <w:right w:val="none" w:sz="0" w:space="0" w:color="auto"/>
          </w:divBdr>
          <w:divsChild>
            <w:div w:id="1797329318">
              <w:marLeft w:val="0"/>
              <w:marRight w:val="0"/>
              <w:marTop w:val="0"/>
              <w:marBottom w:val="0"/>
              <w:divBdr>
                <w:top w:val="none" w:sz="0" w:space="0" w:color="auto"/>
                <w:left w:val="none" w:sz="0" w:space="0" w:color="auto"/>
                <w:bottom w:val="none" w:sz="0" w:space="0" w:color="auto"/>
                <w:right w:val="none" w:sz="0" w:space="0" w:color="auto"/>
              </w:divBdr>
              <w:divsChild>
                <w:div w:id="16996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832">
      <w:bodyDiv w:val="1"/>
      <w:marLeft w:val="0"/>
      <w:marRight w:val="0"/>
      <w:marTop w:val="0"/>
      <w:marBottom w:val="0"/>
      <w:divBdr>
        <w:top w:val="none" w:sz="0" w:space="0" w:color="auto"/>
        <w:left w:val="none" w:sz="0" w:space="0" w:color="auto"/>
        <w:bottom w:val="none" w:sz="0" w:space="0" w:color="auto"/>
        <w:right w:val="none" w:sz="0" w:space="0" w:color="auto"/>
      </w:divBdr>
    </w:div>
    <w:div w:id="1750611708">
      <w:bodyDiv w:val="1"/>
      <w:marLeft w:val="0"/>
      <w:marRight w:val="0"/>
      <w:marTop w:val="0"/>
      <w:marBottom w:val="0"/>
      <w:divBdr>
        <w:top w:val="none" w:sz="0" w:space="0" w:color="auto"/>
        <w:left w:val="none" w:sz="0" w:space="0" w:color="auto"/>
        <w:bottom w:val="none" w:sz="0" w:space="0" w:color="auto"/>
        <w:right w:val="none" w:sz="0" w:space="0" w:color="auto"/>
      </w:divBdr>
    </w:div>
    <w:div w:id="1820337790">
      <w:bodyDiv w:val="1"/>
      <w:marLeft w:val="0"/>
      <w:marRight w:val="0"/>
      <w:marTop w:val="0"/>
      <w:marBottom w:val="0"/>
      <w:divBdr>
        <w:top w:val="none" w:sz="0" w:space="0" w:color="auto"/>
        <w:left w:val="none" w:sz="0" w:space="0" w:color="auto"/>
        <w:bottom w:val="none" w:sz="0" w:space="0" w:color="auto"/>
        <w:right w:val="none" w:sz="0" w:space="0" w:color="auto"/>
      </w:divBdr>
    </w:div>
    <w:div w:id="1821533608">
      <w:bodyDiv w:val="1"/>
      <w:marLeft w:val="0"/>
      <w:marRight w:val="0"/>
      <w:marTop w:val="0"/>
      <w:marBottom w:val="0"/>
      <w:divBdr>
        <w:top w:val="none" w:sz="0" w:space="0" w:color="auto"/>
        <w:left w:val="none" w:sz="0" w:space="0" w:color="auto"/>
        <w:bottom w:val="none" w:sz="0" w:space="0" w:color="auto"/>
        <w:right w:val="none" w:sz="0" w:space="0" w:color="auto"/>
      </w:divBdr>
    </w:div>
    <w:div w:id="1830903647">
      <w:bodyDiv w:val="1"/>
      <w:marLeft w:val="0"/>
      <w:marRight w:val="0"/>
      <w:marTop w:val="0"/>
      <w:marBottom w:val="0"/>
      <w:divBdr>
        <w:top w:val="none" w:sz="0" w:space="0" w:color="auto"/>
        <w:left w:val="none" w:sz="0" w:space="0" w:color="auto"/>
        <w:bottom w:val="none" w:sz="0" w:space="0" w:color="auto"/>
        <w:right w:val="none" w:sz="0" w:space="0" w:color="auto"/>
      </w:divBdr>
      <w:divsChild>
        <w:div w:id="1614939693">
          <w:marLeft w:val="0"/>
          <w:marRight w:val="0"/>
          <w:marTop w:val="0"/>
          <w:marBottom w:val="0"/>
          <w:divBdr>
            <w:top w:val="none" w:sz="0" w:space="0" w:color="auto"/>
            <w:left w:val="none" w:sz="0" w:space="0" w:color="auto"/>
            <w:bottom w:val="none" w:sz="0" w:space="0" w:color="auto"/>
            <w:right w:val="none" w:sz="0" w:space="0" w:color="auto"/>
          </w:divBdr>
          <w:divsChild>
            <w:div w:id="111361217">
              <w:marLeft w:val="0"/>
              <w:marRight w:val="0"/>
              <w:marTop w:val="0"/>
              <w:marBottom w:val="0"/>
              <w:divBdr>
                <w:top w:val="none" w:sz="0" w:space="0" w:color="auto"/>
                <w:left w:val="none" w:sz="0" w:space="0" w:color="auto"/>
                <w:bottom w:val="none" w:sz="0" w:space="0" w:color="auto"/>
                <w:right w:val="none" w:sz="0" w:space="0" w:color="auto"/>
              </w:divBdr>
              <w:divsChild>
                <w:div w:id="8236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5291">
      <w:bodyDiv w:val="1"/>
      <w:marLeft w:val="0"/>
      <w:marRight w:val="0"/>
      <w:marTop w:val="0"/>
      <w:marBottom w:val="0"/>
      <w:divBdr>
        <w:top w:val="none" w:sz="0" w:space="0" w:color="auto"/>
        <w:left w:val="none" w:sz="0" w:space="0" w:color="auto"/>
        <w:bottom w:val="none" w:sz="0" w:space="0" w:color="auto"/>
        <w:right w:val="none" w:sz="0" w:space="0" w:color="auto"/>
      </w:divBdr>
    </w:div>
    <w:div w:id="1881896518">
      <w:bodyDiv w:val="1"/>
      <w:marLeft w:val="0"/>
      <w:marRight w:val="0"/>
      <w:marTop w:val="0"/>
      <w:marBottom w:val="0"/>
      <w:divBdr>
        <w:top w:val="none" w:sz="0" w:space="0" w:color="auto"/>
        <w:left w:val="none" w:sz="0" w:space="0" w:color="auto"/>
        <w:bottom w:val="none" w:sz="0" w:space="0" w:color="auto"/>
        <w:right w:val="none" w:sz="0" w:space="0" w:color="auto"/>
      </w:divBdr>
    </w:div>
    <w:div w:id="1930502457">
      <w:bodyDiv w:val="1"/>
      <w:marLeft w:val="0"/>
      <w:marRight w:val="0"/>
      <w:marTop w:val="0"/>
      <w:marBottom w:val="0"/>
      <w:divBdr>
        <w:top w:val="none" w:sz="0" w:space="0" w:color="auto"/>
        <w:left w:val="none" w:sz="0" w:space="0" w:color="auto"/>
        <w:bottom w:val="none" w:sz="0" w:space="0" w:color="auto"/>
        <w:right w:val="none" w:sz="0" w:space="0" w:color="auto"/>
      </w:divBdr>
    </w:div>
    <w:div w:id="1932159044">
      <w:bodyDiv w:val="1"/>
      <w:marLeft w:val="0"/>
      <w:marRight w:val="0"/>
      <w:marTop w:val="0"/>
      <w:marBottom w:val="0"/>
      <w:divBdr>
        <w:top w:val="none" w:sz="0" w:space="0" w:color="auto"/>
        <w:left w:val="none" w:sz="0" w:space="0" w:color="auto"/>
        <w:bottom w:val="none" w:sz="0" w:space="0" w:color="auto"/>
        <w:right w:val="none" w:sz="0" w:space="0" w:color="auto"/>
      </w:divBdr>
    </w:div>
    <w:div w:id="1935242789">
      <w:bodyDiv w:val="1"/>
      <w:marLeft w:val="0"/>
      <w:marRight w:val="0"/>
      <w:marTop w:val="0"/>
      <w:marBottom w:val="0"/>
      <w:divBdr>
        <w:top w:val="none" w:sz="0" w:space="0" w:color="auto"/>
        <w:left w:val="none" w:sz="0" w:space="0" w:color="auto"/>
        <w:bottom w:val="none" w:sz="0" w:space="0" w:color="auto"/>
        <w:right w:val="none" w:sz="0" w:space="0" w:color="auto"/>
      </w:divBdr>
    </w:div>
    <w:div w:id="1948581959">
      <w:bodyDiv w:val="1"/>
      <w:marLeft w:val="0"/>
      <w:marRight w:val="0"/>
      <w:marTop w:val="0"/>
      <w:marBottom w:val="0"/>
      <w:divBdr>
        <w:top w:val="none" w:sz="0" w:space="0" w:color="auto"/>
        <w:left w:val="none" w:sz="0" w:space="0" w:color="auto"/>
        <w:bottom w:val="none" w:sz="0" w:space="0" w:color="auto"/>
        <w:right w:val="none" w:sz="0" w:space="0" w:color="auto"/>
      </w:divBdr>
    </w:div>
    <w:div w:id="1980725735">
      <w:bodyDiv w:val="1"/>
      <w:marLeft w:val="0"/>
      <w:marRight w:val="0"/>
      <w:marTop w:val="0"/>
      <w:marBottom w:val="0"/>
      <w:divBdr>
        <w:top w:val="none" w:sz="0" w:space="0" w:color="auto"/>
        <w:left w:val="none" w:sz="0" w:space="0" w:color="auto"/>
        <w:bottom w:val="none" w:sz="0" w:space="0" w:color="auto"/>
        <w:right w:val="none" w:sz="0" w:space="0" w:color="auto"/>
      </w:divBdr>
      <w:divsChild>
        <w:div w:id="475605909">
          <w:marLeft w:val="0"/>
          <w:marRight w:val="0"/>
          <w:marTop w:val="0"/>
          <w:marBottom w:val="0"/>
          <w:divBdr>
            <w:top w:val="none" w:sz="0" w:space="0" w:color="auto"/>
            <w:left w:val="none" w:sz="0" w:space="0" w:color="auto"/>
            <w:bottom w:val="none" w:sz="0" w:space="0" w:color="auto"/>
            <w:right w:val="none" w:sz="0" w:space="0" w:color="auto"/>
          </w:divBdr>
          <w:divsChild>
            <w:div w:id="659306877">
              <w:marLeft w:val="0"/>
              <w:marRight w:val="0"/>
              <w:marTop w:val="0"/>
              <w:marBottom w:val="0"/>
              <w:divBdr>
                <w:top w:val="none" w:sz="0" w:space="0" w:color="auto"/>
                <w:left w:val="none" w:sz="0" w:space="0" w:color="auto"/>
                <w:bottom w:val="none" w:sz="0" w:space="0" w:color="auto"/>
                <w:right w:val="none" w:sz="0" w:space="0" w:color="auto"/>
              </w:divBdr>
              <w:divsChild>
                <w:div w:id="777722696">
                  <w:marLeft w:val="0"/>
                  <w:marRight w:val="0"/>
                  <w:marTop w:val="0"/>
                  <w:marBottom w:val="0"/>
                  <w:divBdr>
                    <w:top w:val="none" w:sz="0" w:space="0" w:color="auto"/>
                    <w:left w:val="none" w:sz="0" w:space="0" w:color="auto"/>
                    <w:bottom w:val="none" w:sz="0" w:space="0" w:color="auto"/>
                    <w:right w:val="none" w:sz="0" w:space="0" w:color="auto"/>
                  </w:divBdr>
                  <w:divsChild>
                    <w:div w:id="3696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0335">
      <w:bodyDiv w:val="1"/>
      <w:marLeft w:val="0"/>
      <w:marRight w:val="0"/>
      <w:marTop w:val="0"/>
      <w:marBottom w:val="0"/>
      <w:divBdr>
        <w:top w:val="none" w:sz="0" w:space="0" w:color="auto"/>
        <w:left w:val="none" w:sz="0" w:space="0" w:color="auto"/>
        <w:bottom w:val="none" w:sz="0" w:space="0" w:color="auto"/>
        <w:right w:val="none" w:sz="0" w:space="0" w:color="auto"/>
      </w:divBdr>
    </w:div>
    <w:div w:id="1986814010">
      <w:bodyDiv w:val="1"/>
      <w:marLeft w:val="0"/>
      <w:marRight w:val="0"/>
      <w:marTop w:val="0"/>
      <w:marBottom w:val="0"/>
      <w:divBdr>
        <w:top w:val="none" w:sz="0" w:space="0" w:color="auto"/>
        <w:left w:val="none" w:sz="0" w:space="0" w:color="auto"/>
        <w:bottom w:val="none" w:sz="0" w:space="0" w:color="auto"/>
        <w:right w:val="none" w:sz="0" w:space="0" w:color="auto"/>
      </w:divBdr>
    </w:div>
    <w:div w:id="1988318152">
      <w:bodyDiv w:val="1"/>
      <w:marLeft w:val="0"/>
      <w:marRight w:val="0"/>
      <w:marTop w:val="0"/>
      <w:marBottom w:val="0"/>
      <w:divBdr>
        <w:top w:val="none" w:sz="0" w:space="0" w:color="auto"/>
        <w:left w:val="none" w:sz="0" w:space="0" w:color="auto"/>
        <w:bottom w:val="none" w:sz="0" w:space="0" w:color="auto"/>
        <w:right w:val="none" w:sz="0" w:space="0" w:color="auto"/>
      </w:divBdr>
    </w:div>
    <w:div w:id="1997027729">
      <w:bodyDiv w:val="1"/>
      <w:marLeft w:val="0"/>
      <w:marRight w:val="0"/>
      <w:marTop w:val="0"/>
      <w:marBottom w:val="0"/>
      <w:divBdr>
        <w:top w:val="none" w:sz="0" w:space="0" w:color="auto"/>
        <w:left w:val="none" w:sz="0" w:space="0" w:color="auto"/>
        <w:bottom w:val="none" w:sz="0" w:space="0" w:color="auto"/>
        <w:right w:val="none" w:sz="0" w:space="0" w:color="auto"/>
      </w:divBdr>
      <w:divsChild>
        <w:div w:id="705182921">
          <w:marLeft w:val="0"/>
          <w:marRight w:val="0"/>
          <w:marTop w:val="0"/>
          <w:marBottom w:val="0"/>
          <w:divBdr>
            <w:top w:val="none" w:sz="0" w:space="0" w:color="auto"/>
            <w:left w:val="none" w:sz="0" w:space="0" w:color="auto"/>
            <w:bottom w:val="none" w:sz="0" w:space="0" w:color="auto"/>
            <w:right w:val="none" w:sz="0" w:space="0" w:color="auto"/>
          </w:divBdr>
          <w:divsChild>
            <w:div w:id="1802993203">
              <w:marLeft w:val="0"/>
              <w:marRight w:val="0"/>
              <w:marTop w:val="0"/>
              <w:marBottom w:val="0"/>
              <w:divBdr>
                <w:top w:val="none" w:sz="0" w:space="0" w:color="auto"/>
                <w:left w:val="none" w:sz="0" w:space="0" w:color="auto"/>
                <w:bottom w:val="none" w:sz="0" w:space="0" w:color="auto"/>
                <w:right w:val="none" w:sz="0" w:space="0" w:color="auto"/>
              </w:divBdr>
              <w:divsChild>
                <w:div w:id="18864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4604">
      <w:bodyDiv w:val="1"/>
      <w:marLeft w:val="0"/>
      <w:marRight w:val="0"/>
      <w:marTop w:val="0"/>
      <w:marBottom w:val="0"/>
      <w:divBdr>
        <w:top w:val="none" w:sz="0" w:space="0" w:color="auto"/>
        <w:left w:val="none" w:sz="0" w:space="0" w:color="auto"/>
        <w:bottom w:val="none" w:sz="0" w:space="0" w:color="auto"/>
        <w:right w:val="none" w:sz="0" w:space="0" w:color="auto"/>
      </w:divBdr>
      <w:divsChild>
        <w:div w:id="1103575374">
          <w:marLeft w:val="0"/>
          <w:marRight w:val="0"/>
          <w:marTop w:val="0"/>
          <w:marBottom w:val="0"/>
          <w:divBdr>
            <w:top w:val="none" w:sz="0" w:space="0" w:color="auto"/>
            <w:left w:val="none" w:sz="0" w:space="0" w:color="auto"/>
            <w:bottom w:val="none" w:sz="0" w:space="0" w:color="auto"/>
            <w:right w:val="none" w:sz="0" w:space="0" w:color="auto"/>
          </w:divBdr>
        </w:div>
      </w:divsChild>
    </w:div>
    <w:div w:id="2019387755">
      <w:bodyDiv w:val="1"/>
      <w:marLeft w:val="0"/>
      <w:marRight w:val="0"/>
      <w:marTop w:val="0"/>
      <w:marBottom w:val="0"/>
      <w:divBdr>
        <w:top w:val="none" w:sz="0" w:space="0" w:color="auto"/>
        <w:left w:val="none" w:sz="0" w:space="0" w:color="auto"/>
        <w:bottom w:val="none" w:sz="0" w:space="0" w:color="auto"/>
        <w:right w:val="none" w:sz="0" w:space="0" w:color="auto"/>
      </w:divBdr>
      <w:divsChild>
        <w:div w:id="1619023507">
          <w:marLeft w:val="0"/>
          <w:marRight w:val="0"/>
          <w:marTop w:val="0"/>
          <w:marBottom w:val="0"/>
          <w:divBdr>
            <w:top w:val="none" w:sz="0" w:space="0" w:color="auto"/>
            <w:left w:val="none" w:sz="0" w:space="0" w:color="auto"/>
            <w:bottom w:val="none" w:sz="0" w:space="0" w:color="auto"/>
            <w:right w:val="none" w:sz="0" w:space="0" w:color="auto"/>
          </w:divBdr>
          <w:divsChild>
            <w:div w:id="1976719122">
              <w:marLeft w:val="0"/>
              <w:marRight w:val="0"/>
              <w:marTop w:val="0"/>
              <w:marBottom w:val="0"/>
              <w:divBdr>
                <w:top w:val="none" w:sz="0" w:space="0" w:color="auto"/>
                <w:left w:val="none" w:sz="0" w:space="0" w:color="auto"/>
                <w:bottom w:val="none" w:sz="0" w:space="0" w:color="auto"/>
                <w:right w:val="none" w:sz="0" w:space="0" w:color="auto"/>
              </w:divBdr>
              <w:divsChild>
                <w:div w:id="1746687308">
                  <w:marLeft w:val="0"/>
                  <w:marRight w:val="0"/>
                  <w:marTop w:val="0"/>
                  <w:marBottom w:val="0"/>
                  <w:divBdr>
                    <w:top w:val="none" w:sz="0" w:space="0" w:color="auto"/>
                    <w:left w:val="none" w:sz="0" w:space="0" w:color="auto"/>
                    <w:bottom w:val="none" w:sz="0" w:space="0" w:color="auto"/>
                    <w:right w:val="none" w:sz="0" w:space="0" w:color="auto"/>
                  </w:divBdr>
                  <w:divsChild>
                    <w:div w:id="15232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7269">
      <w:bodyDiv w:val="1"/>
      <w:marLeft w:val="0"/>
      <w:marRight w:val="0"/>
      <w:marTop w:val="0"/>
      <w:marBottom w:val="0"/>
      <w:divBdr>
        <w:top w:val="none" w:sz="0" w:space="0" w:color="auto"/>
        <w:left w:val="none" w:sz="0" w:space="0" w:color="auto"/>
        <w:bottom w:val="none" w:sz="0" w:space="0" w:color="auto"/>
        <w:right w:val="none" w:sz="0" w:space="0" w:color="auto"/>
      </w:divBdr>
    </w:div>
    <w:div w:id="2041393736">
      <w:bodyDiv w:val="1"/>
      <w:marLeft w:val="0"/>
      <w:marRight w:val="0"/>
      <w:marTop w:val="0"/>
      <w:marBottom w:val="0"/>
      <w:divBdr>
        <w:top w:val="none" w:sz="0" w:space="0" w:color="auto"/>
        <w:left w:val="none" w:sz="0" w:space="0" w:color="auto"/>
        <w:bottom w:val="none" w:sz="0" w:space="0" w:color="auto"/>
        <w:right w:val="none" w:sz="0" w:space="0" w:color="auto"/>
      </w:divBdr>
    </w:div>
    <w:div w:id="2110419706">
      <w:bodyDiv w:val="1"/>
      <w:marLeft w:val="0"/>
      <w:marRight w:val="0"/>
      <w:marTop w:val="0"/>
      <w:marBottom w:val="0"/>
      <w:divBdr>
        <w:top w:val="none" w:sz="0" w:space="0" w:color="auto"/>
        <w:left w:val="none" w:sz="0" w:space="0" w:color="auto"/>
        <w:bottom w:val="none" w:sz="0" w:space="0" w:color="auto"/>
        <w:right w:val="none" w:sz="0" w:space="0" w:color="auto"/>
      </w:divBdr>
    </w:div>
    <w:div w:id="2113163162">
      <w:bodyDiv w:val="1"/>
      <w:marLeft w:val="0"/>
      <w:marRight w:val="0"/>
      <w:marTop w:val="0"/>
      <w:marBottom w:val="0"/>
      <w:divBdr>
        <w:top w:val="none" w:sz="0" w:space="0" w:color="auto"/>
        <w:left w:val="none" w:sz="0" w:space="0" w:color="auto"/>
        <w:bottom w:val="none" w:sz="0" w:space="0" w:color="auto"/>
        <w:right w:val="none" w:sz="0" w:space="0" w:color="auto"/>
      </w:divBdr>
      <w:divsChild>
        <w:div w:id="1982416751">
          <w:marLeft w:val="0"/>
          <w:marRight w:val="0"/>
          <w:marTop w:val="0"/>
          <w:marBottom w:val="0"/>
          <w:divBdr>
            <w:top w:val="none" w:sz="0" w:space="0" w:color="auto"/>
            <w:left w:val="none" w:sz="0" w:space="0" w:color="auto"/>
            <w:bottom w:val="none" w:sz="0" w:space="0" w:color="auto"/>
            <w:right w:val="none" w:sz="0" w:space="0" w:color="auto"/>
          </w:divBdr>
          <w:divsChild>
            <w:div w:id="268507297">
              <w:marLeft w:val="0"/>
              <w:marRight w:val="0"/>
              <w:marTop w:val="0"/>
              <w:marBottom w:val="0"/>
              <w:divBdr>
                <w:top w:val="none" w:sz="0" w:space="0" w:color="auto"/>
                <w:left w:val="none" w:sz="0" w:space="0" w:color="auto"/>
                <w:bottom w:val="none" w:sz="0" w:space="0" w:color="auto"/>
                <w:right w:val="none" w:sz="0" w:space="0" w:color="auto"/>
              </w:divBdr>
              <w:divsChild>
                <w:div w:id="9823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EN/TXT/?qid=1583933814386&amp;uri=COM:2020:98:F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TXT/?qid=1583933814386&amp;uri=COM:2020:98:FIN" TargetMode="External"/><Relationship Id="rId17" Type="http://schemas.openxmlformats.org/officeDocument/2006/relationships/hyperlink" Target="https://eojn.hr/tender-eo/6319" TargetMode="External"/><Relationship Id="rId2" Type="http://schemas.openxmlformats.org/officeDocument/2006/relationships/numbering" Target="numbering.xml"/><Relationship Id="rId16" Type="http://schemas.openxmlformats.org/officeDocument/2006/relationships/hyperlink" Target="https://green-business.ec.europa.eu/green-public-procurement/gpp-criteria-and-requirements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qid=1583933814386&amp;uri=COM:2020:98:FIN" TargetMode="External"/><Relationship Id="rId5" Type="http://schemas.openxmlformats.org/officeDocument/2006/relationships/webSettings" Target="webSettings.xml"/><Relationship Id="rId15" Type="http://schemas.openxmlformats.org/officeDocument/2006/relationships/hyperlink" Target="https://green-business.ec.europa.eu/green-public-procurement/gpp-criteria-and-requirements_en" TargetMode="External"/><Relationship Id="rId10" Type="http://schemas.openxmlformats.org/officeDocument/2006/relationships/hyperlink" Target="https://commission.europa.eu/strategy-and-policy/priorities-2019-2024/european-green-deal_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EN/TXT/?qid=1583933814386&amp;uri=COM:2020:98:FI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246B-F2CC-4BFD-9E15-0C80C30B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7028</Words>
  <Characters>40066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Marigona Ujkani</dc:creator>
  <cp:keywords/>
  <dc:description/>
  <cp:lastModifiedBy>Sanije Kelmendi</cp:lastModifiedBy>
  <cp:revision>2</cp:revision>
  <cp:lastPrinted>2024-06-26T09:14:00Z</cp:lastPrinted>
  <dcterms:created xsi:type="dcterms:W3CDTF">2024-09-19T07:26:00Z</dcterms:created>
  <dcterms:modified xsi:type="dcterms:W3CDTF">2024-09-19T07:26:00Z</dcterms:modified>
</cp:coreProperties>
</file>